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70A690" w14:textId="0490DEA6" w:rsidR="00EA3EEE" w:rsidRPr="008077ED" w:rsidRDefault="00D13359" w:rsidP="00D13359">
      <w:pPr>
        <w:jc w:val="center"/>
        <w:rPr>
          <w:rFonts w:ascii="Myriad Pro" w:hAnsi="Myriad Pro"/>
          <w:lang w:val="cs-CZ"/>
        </w:rPr>
      </w:pPr>
      <w:r w:rsidRPr="008077ED">
        <w:rPr>
          <w:noProof/>
          <w:sz w:val="24"/>
          <w:lang w:val="cs-CZ" w:eastAsia="cs-CZ"/>
        </w:rPr>
        <w:drawing>
          <wp:inline distT="0" distB="0" distL="0" distR="0" wp14:anchorId="53756174" wp14:editId="2853BA0D">
            <wp:extent cx="4006850" cy="663838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189" cy="697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DBFEE" w14:textId="44BA2613" w:rsidR="00EA3EEE" w:rsidRPr="008077ED" w:rsidRDefault="007E4A5F">
      <w:pPr>
        <w:rPr>
          <w:rFonts w:ascii="Myriad Pro" w:hAnsi="Myriad Pro"/>
          <w:lang w:val="cs-CZ"/>
        </w:rPr>
      </w:pPr>
      <w:r w:rsidRPr="008077ED">
        <w:rPr>
          <w:rFonts w:ascii="Myriad Pro" w:hAnsi="Myriad Pro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1D53BB7" wp14:editId="427AA369">
                <wp:simplePos x="0" y="0"/>
                <wp:positionH relativeFrom="page">
                  <wp:posOffset>1133475</wp:posOffset>
                </wp:positionH>
                <wp:positionV relativeFrom="page">
                  <wp:posOffset>2133600</wp:posOffset>
                </wp:positionV>
                <wp:extent cx="5861685" cy="1924050"/>
                <wp:effectExtent l="0" t="0" r="5715" b="0"/>
                <wp:wrapNone/>
                <wp:docPr id="463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1924050"/>
                        </a:xfrm>
                        <a:prstGeom prst="rect">
                          <a:avLst/>
                        </a:prstGeom>
                        <a:solidFill>
                          <a:srgbClr val="1498B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40B901" w14:textId="77777777" w:rsidR="0099364A" w:rsidRDefault="0099364A" w:rsidP="0099364A">
                            <w:pPr>
                              <w:pStyle w:val="Bezmezer"/>
                              <w:jc w:val="right"/>
                              <w:rPr>
                                <w:rFonts w:ascii="Daytona" w:eastAsia="Times New Roman" w:hAnsi="Daytona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</w:p>
                          <w:p w14:paraId="7D42D20E" w14:textId="79D51CE8" w:rsidR="00EA3EEE" w:rsidRPr="00A026B4" w:rsidRDefault="00960EC3" w:rsidP="00960EC3">
                            <w:pPr>
                              <w:pStyle w:val="Bezmezer"/>
                              <w:jc w:val="center"/>
                              <w:rPr>
                                <w:rFonts w:ascii="Daytona" w:eastAsia="Times New Roman" w:hAnsi="Daytona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cs-CZ" w:eastAsia="en-GB"/>
                              </w:rPr>
                            </w:pPr>
                            <w:r w:rsidRPr="00A026B4">
                              <w:rPr>
                                <w:rFonts w:ascii="Daytona" w:eastAsia="Times New Roman" w:hAnsi="Daytona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cs-CZ" w:eastAsia="en-GB"/>
                              </w:rPr>
                              <w:t>Kurz Rady Evropy v programu HELP:</w:t>
                            </w:r>
                          </w:p>
                          <w:p w14:paraId="7FC2E876" w14:textId="44B31CDA" w:rsidR="00A026B4" w:rsidRPr="00A026B4" w:rsidRDefault="00A026B4" w:rsidP="00960EC3">
                            <w:pPr>
                              <w:pStyle w:val="Bezmezer"/>
                              <w:jc w:val="center"/>
                              <w:rPr>
                                <w:rFonts w:ascii="Daytona" w:eastAsia="Times New Roman" w:hAnsi="Daytona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cs-CZ" w:eastAsia="en-GB"/>
                              </w:rPr>
                            </w:pPr>
                            <w:r w:rsidRPr="00A026B4">
                              <w:rPr>
                                <w:rFonts w:ascii="Daytona" w:eastAsia="Times New Roman" w:hAnsi="Daytona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cs-CZ" w:eastAsia="en-GB"/>
                              </w:rPr>
                              <w:t>Mezinárodní spolupráce v trestních věcech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3BB7" id="Rectángulo 16" o:spid="_x0000_s1026" style="position:absolute;margin-left:89.25pt;margin-top:168pt;width:461.55pt;height:15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" o:allowincell="f" fillcolor="#1498bf" stroked="f" strokeweight="1.5pt">
                <v:textbox inset="14.4pt,,14.4pt">
                  <w:txbxContent>
                    <w:p w14:paraId="4840B901" w14:textId="77777777" w:rsidR="0099364A" w:rsidRDefault="0099364A" w:rsidP="0099364A">
                      <w:pPr>
                        <w:pStyle w:val="Bezmezer"/>
                        <w:jc w:val="right"/>
                        <w:rPr>
                          <w:rFonts w:ascii="Daytona" w:eastAsia="Times New Roman" w:hAnsi="Daytona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 w:eastAsia="en-GB"/>
                        </w:rPr>
                      </w:pPr>
                    </w:p>
                    <w:p w14:paraId="7D42D20E" w14:textId="79D51CE8" w:rsidR="00EA3EEE" w:rsidRPr="00A026B4" w:rsidRDefault="00960EC3" w:rsidP="00960EC3">
                      <w:pPr>
                        <w:pStyle w:val="Bezmezer"/>
                        <w:jc w:val="center"/>
                        <w:rPr>
                          <w:rFonts w:ascii="Daytona" w:eastAsia="Times New Roman" w:hAnsi="Daytona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cs-CZ" w:eastAsia="en-GB"/>
                        </w:rPr>
                      </w:pPr>
                      <w:r w:rsidRPr="00A026B4">
                        <w:rPr>
                          <w:rFonts w:ascii="Daytona" w:eastAsia="Times New Roman" w:hAnsi="Daytona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cs-CZ" w:eastAsia="en-GB"/>
                        </w:rPr>
                        <w:t>Kurz Rady Evropy v programu HELP:</w:t>
                      </w:r>
                    </w:p>
                    <w:p w14:paraId="7FC2E876" w14:textId="44B31CDA" w:rsidR="00A026B4" w:rsidRPr="00A026B4" w:rsidRDefault="00A026B4" w:rsidP="00960EC3">
                      <w:pPr>
                        <w:pStyle w:val="Bezmezer"/>
                        <w:jc w:val="center"/>
                        <w:rPr>
                          <w:rFonts w:ascii="Daytona" w:eastAsia="Times New Roman" w:hAnsi="Daytona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cs-CZ" w:eastAsia="en-GB"/>
                        </w:rPr>
                      </w:pPr>
                      <w:r w:rsidRPr="00A026B4">
                        <w:rPr>
                          <w:rFonts w:ascii="Daytona" w:eastAsia="Times New Roman" w:hAnsi="Daytona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cs-CZ" w:eastAsia="en-GB"/>
                        </w:rPr>
                        <w:t>Mezinárodní spolupráce v trestních věcech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bookmarkStart w:id="0" w:name="_Hlk97553239" w:displacedByCustomXml="next"/>
    <w:sdt>
      <w:sdtPr>
        <w:rPr>
          <w:rFonts w:ascii="Myriad Pro" w:hAnsi="Myriad Pro"/>
          <w:lang w:val="cs-CZ"/>
        </w:rPr>
        <w:id w:val="-268236843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4DC75593" w14:textId="62459B8D" w:rsidR="00F87E7E" w:rsidRPr="008077ED" w:rsidRDefault="00F87E7E" w:rsidP="00F87E7E">
          <w:pPr>
            <w:rPr>
              <w:rFonts w:ascii="Myriad Pro" w:hAnsi="Myriad Pro"/>
              <w:lang w:val="cs-CZ"/>
            </w:rPr>
          </w:pPr>
        </w:p>
        <w:p w14:paraId="48652D79" w14:textId="77777777" w:rsidR="00F87E7E" w:rsidRPr="008077ED" w:rsidRDefault="00F87E7E" w:rsidP="00F87E7E">
          <w:pPr>
            <w:rPr>
              <w:rFonts w:ascii="Myriad Pro" w:hAnsi="Myriad Pro"/>
              <w:lang w:val="cs-CZ"/>
            </w:rPr>
          </w:pPr>
        </w:p>
        <w:p w14:paraId="2D3AD20E" w14:textId="77777777" w:rsidR="00F87E7E" w:rsidRPr="008077ED" w:rsidRDefault="00F87E7E" w:rsidP="00F87E7E">
          <w:pPr>
            <w:rPr>
              <w:rFonts w:ascii="Myriad Pro" w:hAnsi="Myriad Pro"/>
              <w:lang w:val="cs-CZ"/>
            </w:rPr>
          </w:pPr>
        </w:p>
        <w:p w14:paraId="4572A564" w14:textId="77777777" w:rsidR="00F87E7E" w:rsidRPr="008077ED" w:rsidRDefault="00F87E7E" w:rsidP="00F87E7E">
          <w:pPr>
            <w:rPr>
              <w:rFonts w:ascii="Myriad Pro" w:hAnsi="Myriad Pro"/>
              <w:lang w:val="cs-CZ"/>
            </w:rPr>
          </w:pPr>
        </w:p>
        <w:p w14:paraId="37321DAB" w14:textId="77777777" w:rsidR="007E4A5F" w:rsidRDefault="00F87E7E" w:rsidP="00F87E7E">
          <w:pPr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</w:pPr>
          <w:r w:rsidRPr="008077ED"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  <w:t xml:space="preserve">    </w:t>
          </w:r>
        </w:p>
        <w:p w14:paraId="744F7119" w14:textId="326065E7" w:rsidR="00F87E7E" w:rsidRPr="008077ED" w:rsidRDefault="00F87E7E" w:rsidP="00F87E7E">
          <w:pPr>
            <w:rPr>
              <w:rFonts w:ascii="Myriad Pro" w:hAnsi="Myriad Pro"/>
              <w:lang w:val="cs-CZ"/>
            </w:rPr>
          </w:pPr>
          <w:r w:rsidRPr="008077ED"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  <w:t xml:space="preserve">  </w:t>
          </w:r>
        </w:p>
        <w:p w14:paraId="26568F61" w14:textId="77777777" w:rsidR="007E4A5F" w:rsidRDefault="00F87E7E" w:rsidP="00925D0E">
          <w:pPr>
            <w:rPr>
              <w:rFonts w:ascii="Myriad Pro" w:hAnsi="Myriad Pro" w:cs="Calibri"/>
              <w:b/>
              <w:bCs/>
              <w:noProof/>
              <w:color w:val="1498BF"/>
              <w:sz w:val="32"/>
              <w:szCs w:val="32"/>
              <w:lang w:val="cs-CZ" w:eastAsia="cs-CZ"/>
            </w:rPr>
          </w:pPr>
          <w:r w:rsidRPr="008077ED"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  <w:t xml:space="preserve">                        </w:t>
          </w:r>
          <w:r w:rsidR="00DB4476" w:rsidRPr="008077ED"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  <w:t xml:space="preserve">     </w:t>
          </w:r>
          <w:r w:rsidRPr="008077ED"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  <w:t xml:space="preserve">  </w:t>
          </w:r>
        </w:p>
        <w:p w14:paraId="3197A623" w14:textId="18A8FF4B" w:rsidR="000F5C53" w:rsidRPr="008077ED" w:rsidRDefault="00DB4476" w:rsidP="00925D0E">
          <w:pPr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</w:pPr>
          <w:r w:rsidRPr="008077ED">
            <w:rPr>
              <w:rFonts w:ascii="Myriad Pro" w:hAnsi="Myriad Pro" w:cs="Calibri"/>
              <w:b/>
              <w:bCs/>
              <w:noProof/>
              <w:color w:val="1498BF"/>
              <w:sz w:val="32"/>
              <w:szCs w:val="32"/>
              <w:lang w:val="cs-CZ" w:eastAsia="cs-CZ"/>
            </w:rPr>
            <w:drawing>
              <wp:inline distT="0" distB="0" distL="0" distR="0" wp14:anchorId="1E598F5C" wp14:editId="0BEBA0A8">
                <wp:extent cx="6486525" cy="3409798"/>
                <wp:effectExtent l="0" t="0" r="0" b="635"/>
                <wp:docPr id="4" name="Picture 4" descr="Graphical user interface, websi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Graphical user interface, website&#10;&#10;Description automatically generated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173" cy="3441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EA3894" w14:textId="090C927E" w:rsidR="000F5C53" w:rsidRPr="008077ED" w:rsidRDefault="000F5C53" w:rsidP="000F5C53">
          <w:pPr>
            <w:jc w:val="center"/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</w:pPr>
        </w:p>
        <w:p w14:paraId="0B5CBD88" w14:textId="0CDBDDF0" w:rsidR="000F5C53" w:rsidRPr="008077ED" w:rsidRDefault="000F5C53" w:rsidP="000F5C53">
          <w:pPr>
            <w:pStyle w:val="Odstavecseseznamem"/>
            <w:rPr>
              <w:rFonts w:ascii="Daytona" w:hAnsi="Daytona" w:cs="Calibri"/>
              <w:b/>
              <w:bCs/>
              <w:color w:val="000000" w:themeColor="text1"/>
              <w:sz w:val="28"/>
              <w:szCs w:val="28"/>
              <w:lang w:val="cs-CZ"/>
            </w:rPr>
          </w:pPr>
        </w:p>
        <w:p w14:paraId="44DAC067" w14:textId="2B128119" w:rsidR="000F5C53" w:rsidRPr="008077ED" w:rsidRDefault="000F5C53" w:rsidP="000F5C53">
          <w:pPr>
            <w:pStyle w:val="Odstavecseseznamem"/>
            <w:rPr>
              <w:rFonts w:ascii="Daytona" w:hAnsi="Daytona" w:cs="Calibri"/>
              <w:b/>
              <w:bCs/>
              <w:color w:val="000000" w:themeColor="text1"/>
              <w:sz w:val="28"/>
              <w:szCs w:val="28"/>
              <w:lang w:val="cs-CZ"/>
            </w:rPr>
          </w:pPr>
        </w:p>
        <w:p w14:paraId="476B97FF" w14:textId="77777777" w:rsidR="00F66FD9" w:rsidRPr="007E4A5F" w:rsidRDefault="00F66FD9" w:rsidP="007E4A5F">
          <w:pPr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</w:pPr>
        </w:p>
        <w:p w14:paraId="4EE6A3BE" w14:textId="4B57A177" w:rsidR="0046583D" w:rsidRPr="008077ED" w:rsidRDefault="00914CD8" w:rsidP="0046583D">
          <w:pPr>
            <w:shd w:val="clear" w:color="auto" w:fill="FFFFFF" w:themeFill="background1"/>
            <w:jc w:val="center"/>
            <w:rPr>
              <w:rFonts w:ascii="Leelawadee" w:hAnsi="Leelawadee" w:cs="Leelawadee"/>
              <w:b/>
              <w:bCs/>
              <w:color w:val="1498BF"/>
              <w:sz w:val="28"/>
              <w:szCs w:val="28"/>
              <w:lang w:val="cs-CZ"/>
            </w:rPr>
          </w:pPr>
          <w:r>
            <w:rPr>
              <w:rFonts w:ascii="Leelawadee" w:hAnsi="Leelawadee" w:cs="Leelawadee"/>
              <w:b/>
              <w:bCs/>
              <w:color w:val="1498BF"/>
              <w:sz w:val="28"/>
              <w:szCs w:val="28"/>
              <w:lang w:val="cs-CZ"/>
            </w:rPr>
            <w:t>Online k</w:t>
          </w:r>
          <w:r w:rsidR="00641648">
            <w:rPr>
              <w:rFonts w:ascii="Leelawadee" w:hAnsi="Leelawadee" w:cs="Leelawadee"/>
              <w:b/>
              <w:bCs/>
              <w:color w:val="1498BF"/>
              <w:sz w:val="28"/>
              <w:szCs w:val="28"/>
              <w:lang w:val="cs-CZ"/>
            </w:rPr>
            <w:t xml:space="preserve">urz Rady Evropy v programu </w:t>
          </w:r>
          <w:r w:rsidR="00962604" w:rsidRPr="008077ED">
            <w:rPr>
              <w:rFonts w:ascii="Leelawadee" w:hAnsi="Leelawadee" w:cs="Leelawadee"/>
              <w:b/>
              <w:bCs/>
              <w:color w:val="1498BF"/>
              <w:sz w:val="28"/>
              <w:szCs w:val="28"/>
              <w:lang w:val="cs-CZ"/>
            </w:rPr>
            <w:t>HELP</w:t>
          </w:r>
          <w:r w:rsidR="00641648">
            <w:rPr>
              <w:rFonts w:ascii="Leelawadee" w:hAnsi="Leelawadee" w:cs="Leelawadee"/>
              <w:b/>
              <w:bCs/>
              <w:color w:val="1498BF"/>
              <w:sz w:val="28"/>
              <w:szCs w:val="28"/>
              <w:lang w:val="cs-CZ"/>
            </w:rPr>
            <w:t xml:space="preserve">: </w:t>
          </w:r>
          <w:r w:rsidR="00A93F52" w:rsidRPr="008077ED">
            <w:rPr>
              <w:rFonts w:ascii="Leelawadee" w:hAnsi="Leelawadee" w:cs="Leelawadee"/>
              <w:b/>
              <w:bCs/>
              <w:color w:val="1498BF"/>
              <w:sz w:val="28"/>
              <w:szCs w:val="28"/>
              <w:lang w:val="cs-CZ"/>
            </w:rPr>
            <w:t xml:space="preserve">Mezinárodní spolupráce </w:t>
          </w:r>
          <w:r w:rsidR="00F66FD9" w:rsidRPr="008077ED">
            <w:rPr>
              <w:rFonts w:ascii="Leelawadee" w:hAnsi="Leelawadee" w:cs="Leelawadee"/>
              <w:b/>
              <w:bCs/>
              <w:color w:val="1498BF"/>
              <w:sz w:val="28"/>
              <w:szCs w:val="28"/>
              <w:lang w:val="cs-CZ"/>
            </w:rPr>
            <w:t>v trestních</w:t>
          </w:r>
          <w:r w:rsidR="00A93F52" w:rsidRPr="008077ED">
            <w:rPr>
              <w:rFonts w:ascii="Leelawadee" w:hAnsi="Leelawadee" w:cs="Leelawadee"/>
              <w:b/>
              <w:bCs/>
              <w:color w:val="1498BF"/>
              <w:sz w:val="28"/>
              <w:szCs w:val="28"/>
              <w:lang w:val="cs-CZ"/>
            </w:rPr>
            <w:t xml:space="preserve"> v</w:t>
          </w:r>
          <w:r w:rsidR="00A93F52" w:rsidRPr="008077ED">
            <w:rPr>
              <w:rFonts w:ascii="Arial" w:hAnsi="Arial" w:cs="Arial"/>
              <w:b/>
              <w:bCs/>
              <w:color w:val="1498BF"/>
              <w:sz w:val="28"/>
              <w:szCs w:val="28"/>
              <w:lang w:val="cs-CZ"/>
            </w:rPr>
            <w:t>ěcech</w:t>
          </w:r>
        </w:p>
        <w:p w14:paraId="1F28324F" w14:textId="0F9FEFF8" w:rsidR="00BF73C8" w:rsidRPr="008077ED" w:rsidRDefault="00BF73C8" w:rsidP="00F66FD9">
          <w:pPr>
            <w:autoSpaceDE w:val="0"/>
            <w:autoSpaceDN w:val="0"/>
            <w:adjustRightInd w:val="0"/>
            <w:spacing w:after="0" w:line="240" w:lineRule="auto"/>
            <w:rPr>
              <w:rFonts w:ascii="Corbel" w:hAnsi="Corbel" w:cs="Calibri"/>
              <w:b/>
              <w:bCs/>
              <w:i/>
              <w:color w:val="1498BF"/>
              <w:sz w:val="32"/>
              <w:szCs w:val="32"/>
              <w:lang w:val="cs-CZ"/>
            </w:rPr>
          </w:pPr>
          <w:r w:rsidRPr="008077ED">
            <w:rPr>
              <w:rFonts w:ascii="Corbel" w:hAnsi="Corbel" w:cs="Calibri"/>
              <w:b/>
              <w:bCs/>
              <w:i/>
              <w:noProof/>
              <w:color w:val="1498BF"/>
              <w:sz w:val="32"/>
              <w:szCs w:val="32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A2E974" wp14:editId="34F8272A">
                    <wp:simplePos x="0" y="0"/>
                    <wp:positionH relativeFrom="column">
                      <wp:posOffset>-148590</wp:posOffset>
                    </wp:positionH>
                    <wp:positionV relativeFrom="paragraph">
                      <wp:posOffset>292100</wp:posOffset>
                    </wp:positionV>
                    <wp:extent cx="6467475" cy="866775"/>
                    <wp:effectExtent l="0" t="0" r="9525" b="952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67475" cy="8667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D949E3" w14:textId="194DFE79" w:rsidR="00BF73C8" w:rsidRPr="008077ED" w:rsidRDefault="00962604" w:rsidP="00BF73C8">
                                <w:pPr>
                                  <w:spacing w:after="0"/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8077ED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Da</w:t>
                                </w:r>
                                <w:r w:rsidR="0046583D" w:rsidRPr="008077ED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tum</w:t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="00F66FD9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Zahajovací online seminá</w:t>
                                </w:r>
                                <w:r w:rsidR="00F66FD9">
                                  <w:rPr>
                                    <w:rFonts w:ascii="Calibri" w:hAnsi="Calibri" w:cs="Calibri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 xml:space="preserve">ř: </w:t>
                                </w:r>
                                <w:r w:rsidR="000D6759" w:rsidRPr="00F66FD9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5</w:t>
                                </w:r>
                                <w:r w:rsidR="0046583D" w:rsidRPr="00F66FD9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. dubna</w:t>
                                </w:r>
                                <w:r w:rsidR="000D6759" w:rsidRPr="00F66FD9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 xml:space="preserve"> 2022</w:t>
                                </w:r>
                                <w:r w:rsidR="00F66FD9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 xml:space="preserve"> od 16:00 – 18:30</w:t>
                                </w:r>
                                <w:r w:rsidR="00914CD8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 xml:space="preserve"> hod.</w:t>
                                </w:r>
                              </w:p>
                              <w:p w14:paraId="4BF4548B" w14:textId="32C9F5A6" w:rsidR="00BF73C8" w:rsidRPr="008077ED" w:rsidRDefault="0046583D" w:rsidP="00BF73C8">
                                <w:pPr>
                                  <w:spacing w:after="0"/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8077ED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Místo</w:t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="007B04B4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Online</w:t>
                                </w:r>
                                <w:r w:rsidR="007B6C04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 xml:space="preserve">: </w:t>
                                </w:r>
                                <w:r w:rsidR="007B6C04" w:rsidRPr="008077ED">
                                  <w:rPr>
                                    <w:rStyle w:val="Hypertextovodkaz"/>
                                    <w:rFonts w:ascii="Leelawadee" w:hAnsi="Leelawadee" w:cs="Leelawadee"/>
                                    <w:sz w:val="20"/>
                                    <w:szCs w:val="20"/>
                                    <w:lang w:val="cs-CZ"/>
                                  </w:rPr>
                                  <w:t>https://bluejeans.com/244718264/8517</w:t>
                                </w:r>
                              </w:p>
                              <w:p w14:paraId="775C327B" w14:textId="28A35764" w:rsidR="00BF73C8" w:rsidRPr="008077ED" w:rsidRDefault="0046583D" w:rsidP="00BF73C8">
                                <w:pPr>
                                  <w:spacing w:after="0"/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8077ED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Jazyk</w:t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Pr="008077ED">
                                  <w:rPr>
                                    <w:rFonts w:ascii="Calibri" w:hAnsi="Calibri" w:cs="Calibri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č</w:t>
                                </w:r>
                                <w:r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eský a anglický</w:t>
                                </w:r>
                              </w:p>
                              <w:p w14:paraId="27099EA8" w14:textId="1BFBAF58" w:rsidR="00BF73C8" w:rsidRPr="008077ED" w:rsidRDefault="00C17880" w:rsidP="00BF73C8">
                                <w:pPr>
                                  <w:spacing w:after="0"/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8077ED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Ú</w:t>
                                </w:r>
                                <w:r w:rsidRPr="008077ED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č</w:t>
                                </w:r>
                                <w:r w:rsidRPr="008077ED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ast</w:t>
                                </w:r>
                                <w:r w:rsidR="008077ED">
                                  <w:rPr>
                                    <w:rFonts w:ascii="Leelawadee" w:hAnsi="Leelawadee" w:cs="Leelawadee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níci</w:t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="00BF73C8" w:rsidRPr="008077E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ab/>
                                </w:r>
                                <w:r w:rsidR="008077ED" w:rsidRPr="00F66FD9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advokáti</w:t>
                                </w:r>
                                <w:r w:rsidR="004B14A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 xml:space="preserve">/koncipienti, </w:t>
                                </w:r>
                                <w:r w:rsidR="008077ED" w:rsidRPr="00F66FD9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>soudci</w:t>
                                </w:r>
                                <w:r w:rsidR="004B14AD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0"/>
                                    <w:szCs w:val="20"/>
                                    <w:lang w:val="cs-CZ"/>
                                  </w:rPr>
                                  <w:t xml:space="preserve"> a státní zástupci</w:t>
                                </w:r>
                              </w:p>
                              <w:p w14:paraId="3718642E" w14:textId="2768A659" w:rsidR="00BF73C8" w:rsidRPr="00652B9C" w:rsidRDefault="00BF73C8" w:rsidP="00BF73C8">
                                <w:pPr>
                                  <w:rPr>
                                    <w:color w:val="000000" w:themeColor="text1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A2E974" id="Rectangle 3" o:spid="_x0000_s1027" style="position:absolute;margin-left:-11.7pt;margin-top:23pt;width:509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" fillcolor="#f2f2f2 [3052]" stroked="f" strokeweight="2pt">
                    <v:textbox>
                      <w:txbxContent>
                        <w:p w14:paraId="15D949E3" w14:textId="194DFE79" w:rsidR="00BF73C8" w:rsidRPr="008077ED" w:rsidRDefault="00962604" w:rsidP="00BF73C8">
                          <w:pPr>
                            <w:spacing w:after="0"/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</w:pPr>
                          <w:r w:rsidRPr="008077ED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Da</w:t>
                          </w:r>
                          <w:r w:rsidR="0046583D" w:rsidRPr="008077ED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tum</w:t>
                          </w:r>
                          <w:r w:rsidR="00BF73C8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="00BF73C8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="00BF73C8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="00F66FD9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Zahajovací online seminá</w:t>
                          </w:r>
                          <w:r w:rsidR="00F66FD9"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 xml:space="preserve">ř: </w:t>
                          </w:r>
                          <w:r w:rsidR="000D6759" w:rsidRPr="00F66FD9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5</w:t>
                          </w:r>
                          <w:r w:rsidR="0046583D" w:rsidRPr="00F66FD9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. dubna</w:t>
                          </w:r>
                          <w:r w:rsidR="000D6759" w:rsidRPr="00F66FD9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 xml:space="preserve"> 2022</w:t>
                          </w:r>
                          <w:r w:rsidR="00F66FD9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 xml:space="preserve"> od 16:00 – 18:30</w:t>
                          </w:r>
                          <w:r w:rsidR="00914CD8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 xml:space="preserve"> hod.</w:t>
                          </w:r>
                        </w:p>
                        <w:p w14:paraId="4BF4548B" w14:textId="32C9F5A6" w:rsidR="00BF73C8" w:rsidRPr="008077ED" w:rsidRDefault="0046583D" w:rsidP="00BF73C8">
                          <w:pPr>
                            <w:spacing w:after="0"/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</w:pPr>
                          <w:r w:rsidRPr="008077ED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Místo</w:t>
                          </w:r>
                          <w:r w:rsidR="00BF73C8" w:rsidRPr="008077ED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="00BF73C8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="00BF73C8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="007B04B4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Online</w:t>
                          </w:r>
                          <w:r w:rsidR="007B6C04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 xml:space="preserve">: </w:t>
                          </w:r>
                          <w:r w:rsidR="007B6C04" w:rsidRPr="008077ED">
                            <w:rPr>
                              <w:rStyle w:val="Hypertextovodkaz"/>
                              <w:rFonts w:ascii="Leelawadee" w:hAnsi="Leelawadee" w:cs="Leelawadee"/>
                              <w:sz w:val="20"/>
                              <w:szCs w:val="20"/>
                              <w:lang w:val="cs-CZ"/>
                            </w:rPr>
                            <w:t>https://bluejeans.com/244718264/8517</w:t>
                          </w:r>
                        </w:p>
                        <w:p w14:paraId="775C327B" w14:textId="28A35764" w:rsidR="00BF73C8" w:rsidRPr="008077ED" w:rsidRDefault="0046583D" w:rsidP="00BF73C8">
                          <w:pPr>
                            <w:spacing w:after="0"/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</w:pPr>
                          <w:r w:rsidRPr="008077ED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Jazyk</w:t>
                          </w:r>
                          <w:r w:rsidR="00BF73C8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="00BF73C8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Pr="008077ED"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č</w:t>
                          </w:r>
                          <w:r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eský a anglický</w:t>
                          </w:r>
                        </w:p>
                        <w:p w14:paraId="27099EA8" w14:textId="1BFBAF58" w:rsidR="00BF73C8" w:rsidRPr="008077ED" w:rsidRDefault="00C17880" w:rsidP="00BF73C8">
                          <w:pPr>
                            <w:spacing w:after="0"/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</w:pPr>
                          <w:r w:rsidRPr="008077ED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Ú</w:t>
                          </w:r>
                          <w:r w:rsidRPr="008077ED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č</w:t>
                          </w:r>
                          <w:r w:rsidRPr="008077ED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ast</w:t>
                          </w:r>
                          <w:r w:rsidR="008077ED">
                            <w:rPr>
                              <w:rFonts w:ascii="Leelawadee" w:hAnsi="Leelawadee" w:cs="Leelawadee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níci</w:t>
                          </w:r>
                          <w:r w:rsidR="00BF73C8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="00BF73C8" w:rsidRPr="008077E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ab/>
                          </w:r>
                          <w:r w:rsidR="008077ED" w:rsidRPr="00F66FD9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advokáti</w:t>
                          </w:r>
                          <w:r w:rsidR="004B14A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 xml:space="preserve">/koncipienti, </w:t>
                          </w:r>
                          <w:r w:rsidR="008077ED" w:rsidRPr="00F66FD9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>soudci</w:t>
                          </w:r>
                          <w:r w:rsidR="004B14AD">
                            <w:rPr>
                              <w:rFonts w:ascii="Leelawadee" w:hAnsi="Leelawadee" w:cs="Leelawadee"/>
                              <w:color w:val="000000" w:themeColor="text1"/>
                              <w:sz w:val="20"/>
                              <w:szCs w:val="20"/>
                              <w:lang w:val="cs-CZ"/>
                            </w:rPr>
                            <w:t xml:space="preserve"> a státní zástupci</w:t>
                          </w:r>
                        </w:p>
                        <w:p w14:paraId="3718642E" w14:textId="2768A659" w:rsidR="00BF73C8" w:rsidRPr="00652B9C" w:rsidRDefault="00BF73C8" w:rsidP="00BF73C8">
                          <w:pPr>
                            <w:rPr>
                              <w:color w:val="000000" w:themeColor="text1"/>
                              <w:lang w:val="cs-CZ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641EC81B" w14:textId="77777777" w:rsidR="00BF73C8" w:rsidRPr="008077ED" w:rsidRDefault="00BF73C8" w:rsidP="00BF73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rbel" w:hAnsi="Corbel" w:cs="Calibri"/>
              <w:b/>
              <w:bCs/>
              <w:i/>
              <w:color w:val="1498BF"/>
              <w:sz w:val="32"/>
              <w:szCs w:val="32"/>
              <w:lang w:val="cs-CZ"/>
            </w:rPr>
          </w:pPr>
        </w:p>
        <w:p w14:paraId="0BEF919F" w14:textId="77777777" w:rsidR="00BF73C8" w:rsidRPr="008077ED" w:rsidRDefault="00BF73C8" w:rsidP="00BF73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rbel" w:hAnsi="Corbel" w:cs="Calibri"/>
              <w:b/>
              <w:bCs/>
              <w:i/>
              <w:color w:val="1498BF"/>
              <w:sz w:val="32"/>
              <w:szCs w:val="32"/>
              <w:lang w:val="cs-CZ"/>
            </w:rPr>
          </w:pPr>
        </w:p>
        <w:p w14:paraId="00B24420" w14:textId="77777777" w:rsidR="00BF73C8" w:rsidRPr="008077ED" w:rsidRDefault="00BF73C8" w:rsidP="00BF73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rbel" w:hAnsi="Corbel" w:cs="Calibri"/>
              <w:b/>
              <w:bCs/>
              <w:i/>
              <w:color w:val="1498BF"/>
              <w:sz w:val="32"/>
              <w:szCs w:val="32"/>
              <w:lang w:val="cs-CZ"/>
            </w:rPr>
          </w:pPr>
        </w:p>
        <w:p w14:paraId="51EC3E6A" w14:textId="77777777" w:rsidR="00BF73C8" w:rsidRPr="008077ED" w:rsidRDefault="00BF73C8" w:rsidP="00BF73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rbel" w:hAnsi="Corbel" w:cs="Calibri"/>
              <w:b/>
              <w:bCs/>
              <w:i/>
              <w:color w:val="1498BF"/>
              <w:sz w:val="32"/>
              <w:szCs w:val="32"/>
              <w:lang w:val="cs-CZ"/>
            </w:rPr>
          </w:pPr>
        </w:p>
        <w:p w14:paraId="3BF0AEC9" w14:textId="77777777" w:rsidR="00BF73C8" w:rsidRPr="008077ED" w:rsidRDefault="00BF73C8" w:rsidP="00BF73C8">
          <w:pPr>
            <w:autoSpaceDE w:val="0"/>
            <w:autoSpaceDN w:val="0"/>
            <w:adjustRightInd w:val="0"/>
            <w:spacing w:after="0"/>
            <w:jc w:val="both"/>
            <w:rPr>
              <w:rFonts w:cstheme="minorHAnsi"/>
              <w:color w:val="000000" w:themeColor="text1"/>
              <w:sz w:val="24"/>
              <w:szCs w:val="24"/>
              <w:lang w:val="cs-CZ"/>
            </w:rPr>
          </w:pPr>
        </w:p>
        <w:p w14:paraId="54E8149C" w14:textId="7122A34C" w:rsidR="00C33446" w:rsidRPr="008077ED" w:rsidRDefault="008E4FC2" w:rsidP="00C33446">
          <w:pPr>
            <w:autoSpaceDE w:val="0"/>
            <w:autoSpaceDN w:val="0"/>
            <w:adjustRightInd w:val="0"/>
            <w:spacing w:after="0"/>
            <w:jc w:val="both"/>
            <w:rPr>
              <w:rFonts w:cstheme="minorHAnsi"/>
              <w:color w:val="000000" w:themeColor="text1"/>
              <w:sz w:val="24"/>
              <w:szCs w:val="24"/>
              <w:lang w:val="cs-CZ"/>
            </w:rPr>
          </w:pPr>
          <w:r w:rsidRPr="008077ED">
            <w:rPr>
              <w:rFonts w:cstheme="minorHAnsi"/>
              <w:color w:val="000000" w:themeColor="text1"/>
              <w:sz w:val="24"/>
              <w:szCs w:val="24"/>
              <w:lang w:val="cs-CZ"/>
            </w:rPr>
            <w:t>Program Rady Evropy (RE</w:t>
          </w:r>
          <w:r w:rsidR="00CA4E47" w:rsidRPr="008077ED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) </w:t>
          </w:r>
          <w:r w:rsidR="00D95656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Vzdělávání právních profesionálů v oblasti lidských práv (HELP) </w:t>
          </w:r>
          <w:hyperlink r:id="rId11" w:history="1">
            <w:r w:rsidR="00892046" w:rsidRPr="00053EC2">
              <w:rPr>
                <w:rStyle w:val="Hypertextovodkaz"/>
                <w:rFonts w:cstheme="minorHAnsi"/>
                <w:sz w:val="24"/>
                <w:szCs w:val="24"/>
                <w:lang w:val="cs-CZ"/>
              </w:rPr>
              <w:t>https://help.elearning.ext.coe.int/</w:t>
            </w:r>
          </w:hyperlink>
          <w:r w:rsidR="00892046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 </w:t>
          </w:r>
          <w:r w:rsidR="00C33446" w:rsidRPr="008077ED">
            <w:rPr>
              <w:rFonts w:cstheme="minorHAnsi"/>
              <w:color w:val="000000" w:themeColor="text1"/>
              <w:sz w:val="24"/>
              <w:szCs w:val="24"/>
              <w:lang w:val="cs-CZ"/>
            </w:rPr>
            <w:t>si klade za cíl podporovat členské státy Rady Evropy při zavádění evropských norem v oblasti lidských práv (RE a EU) na národní úrovni t</w:t>
          </w:r>
          <w:r w:rsidR="00FE1884">
            <w:rPr>
              <w:rFonts w:cstheme="minorHAnsi"/>
              <w:color w:val="000000" w:themeColor="text1"/>
              <w:sz w:val="24"/>
              <w:szCs w:val="24"/>
              <w:lang w:val="cs-CZ"/>
            </w:rPr>
            <w:t>ak</w:t>
          </w:r>
          <w:r w:rsidR="00C33446" w:rsidRPr="008077ED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, že </w:t>
          </w:r>
          <w:r w:rsidR="00FE1884">
            <w:rPr>
              <w:rFonts w:cstheme="minorHAnsi"/>
              <w:color w:val="000000" w:themeColor="text1"/>
              <w:sz w:val="24"/>
              <w:szCs w:val="24"/>
              <w:lang w:val="cs-CZ"/>
            </w:rPr>
            <w:t>poskytují vzdělávání</w:t>
          </w:r>
          <w:r w:rsidR="00C33446" w:rsidRPr="008077ED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 právní</w:t>
          </w:r>
          <w:r w:rsidR="00FE1884">
            <w:rPr>
              <w:rFonts w:cstheme="minorHAnsi"/>
              <w:color w:val="000000" w:themeColor="text1"/>
              <w:sz w:val="24"/>
              <w:szCs w:val="24"/>
              <w:lang w:val="cs-CZ"/>
            </w:rPr>
            <w:t>m</w:t>
          </w:r>
          <w:r w:rsidR="00C33446" w:rsidRPr="008077ED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 profesionálů</w:t>
          </w:r>
          <w:r w:rsidR="00FE1884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m, kteří jej pak využijí </w:t>
          </w:r>
          <w:r w:rsidR="00D341D0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při aplikaci </w:t>
          </w:r>
          <w:r w:rsidR="00675BB5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norem v oblasti lidských práv </w:t>
          </w:r>
          <w:r w:rsidR="00FE1884">
            <w:rPr>
              <w:rFonts w:cstheme="minorHAnsi"/>
              <w:color w:val="000000" w:themeColor="text1"/>
              <w:sz w:val="24"/>
              <w:szCs w:val="24"/>
              <w:lang w:val="cs-CZ"/>
            </w:rPr>
            <w:t>ve své každodenní praxi.</w:t>
          </w:r>
        </w:p>
        <w:p w14:paraId="0CC15223" w14:textId="27F3F418" w:rsidR="00CA4E47" w:rsidRPr="008077ED" w:rsidRDefault="00CA4E47" w:rsidP="00CA4E47">
          <w:pPr>
            <w:autoSpaceDE w:val="0"/>
            <w:autoSpaceDN w:val="0"/>
            <w:adjustRightInd w:val="0"/>
            <w:spacing w:after="0"/>
            <w:jc w:val="both"/>
            <w:rPr>
              <w:rFonts w:cstheme="minorHAnsi"/>
              <w:color w:val="000000" w:themeColor="text1"/>
              <w:sz w:val="24"/>
              <w:szCs w:val="24"/>
              <w:lang w:val="cs-CZ"/>
            </w:rPr>
          </w:pPr>
        </w:p>
        <w:p w14:paraId="51625F93" w14:textId="454B2425" w:rsidR="00C33446" w:rsidRPr="008077ED" w:rsidRDefault="00C33446" w:rsidP="00C33446">
          <w:pPr>
            <w:autoSpaceDE w:val="0"/>
            <w:autoSpaceDN w:val="0"/>
            <w:adjustRightInd w:val="0"/>
            <w:spacing w:after="0"/>
            <w:jc w:val="both"/>
            <w:rPr>
              <w:rFonts w:cstheme="minorHAnsi"/>
              <w:color w:val="000000" w:themeColor="text1"/>
              <w:sz w:val="24"/>
              <w:szCs w:val="24"/>
              <w:lang w:val="cs-CZ"/>
            </w:rPr>
          </w:pPr>
          <w:r w:rsidRPr="008077ED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HELP si klade za cíl poskytovat </w:t>
          </w:r>
          <w:r w:rsidR="007F7F69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advokátům, </w:t>
          </w:r>
          <w:r w:rsidRPr="008077ED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soudcům, státním zástupcům a dalším odborníkům školení v oblasti lidských práv prostřednictvím online kurzů, které </w:t>
          </w:r>
          <w:r w:rsidR="009556EF">
            <w:rPr>
              <w:rFonts w:cstheme="minorHAnsi"/>
              <w:color w:val="000000" w:themeColor="text1"/>
              <w:sz w:val="24"/>
              <w:szCs w:val="24"/>
              <w:lang w:val="cs-CZ"/>
            </w:rPr>
            <w:t>právním profesionálům</w:t>
          </w:r>
          <w:r w:rsidRPr="008077ED">
            <w:rPr>
              <w:rFonts w:cstheme="minorHAnsi"/>
              <w:color w:val="000000" w:themeColor="text1"/>
              <w:sz w:val="24"/>
              <w:szCs w:val="24"/>
              <w:lang w:val="cs-CZ"/>
            </w:rPr>
            <w:t xml:space="preserve"> umožňují lépe uplatňovat a udržovat si aktuální informace o vyvíjejících se standardech a judikatuře Rady Evropy a EU.</w:t>
          </w:r>
        </w:p>
        <w:p w14:paraId="0216EA83" w14:textId="77777777" w:rsidR="009F26DA" w:rsidRPr="008077ED" w:rsidRDefault="009F26DA" w:rsidP="009F26DA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  <w:color w:val="000000" w:themeColor="text1"/>
              <w:sz w:val="24"/>
              <w:szCs w:val="24"/>
              <w:lang w:val="cs-CZ"/>
            </w:rPr>
          </w:pPr>
        </w:p>
        <w:p w14:paraId="5DD6C300" w14:textId="442F600F" w:rsidR="009F26DA" w:rsidRPr="008077ED" w:rsidRDefault="009F26DA" w:rsidP="009F26DA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Leelawadee" w:hAnsi="Leelawadee" w:cs="Leelawadee"/>
              <w:b/>
              <w:bCs/>
              <w:color w:val="1498BF"/>
              <w:sz w:val="24"/>
              <w:szCs w:val="24"/>
              <w:lang w:val="cs-CZ"/>
            </w:rPr>
          </w:pPr>
          <w:r w:rsidRPr="008077ED">
            <w:rPr>
              <w:rFonts w:ascii="Leelawadee" w:hAnsi="Leelawadee" w:cs="Leelawadee"/>
              <w:b/>
              <w:bCs/>
              <w:color w:val="1498BF"/>
              <w:sz w:val="24"/>
              <w:szCs w:val="24"/>
              <w:lang w:val="cs-CZ"/>
            </w:rPr>
            <w:t>Pozadí a klí</w:t>
          </w:r>
          <w:r w:rsidRPr="008077ED">
            <w:rPr>
              <w:rFonts w:ascii="Calibri" w:hAnsi="Calibri" w:cs="Calibri"/>
              <w:b/>
              <w:bCs/>
              <w:color w:val="1498BF"/>
              <w:sz w:val="24"/>
              <w:szCs w:val="24"/>
              <w:lang w:val="cs-CZ"/>
            </w:rPr>
            <w:t>č</w:t>
          </w:r>
          <w:r w:rsidRPr="008077ED">
            <w:rPr>
              <w:rFonts w:ascii="Leelawadee" w:hAnsi="Leelawadee" w:cs="Leelawadee"/>
              <w:b/>
              <w:bCs/>
              <w:color w:val="1498BF"/>
              <w:sz w:val="24"/>
              <w:szCs w:val="24"/>
              <w:lang w:val="cs-CZ"/>
            </w:rPr>
            <w:t>ov</w:t>
          </w:r>
          <w:r w:rsidRPr="008077ED">
            <w:rPr>
              <w:rFonts w:ascii="Leelawadee UI" w:hAnsi="Leelawadee UI" w:cs="Leelawadee UI"/>
              <w:b/>
              <w:bCs/>
              <w:color w:val="1498BF"/>
              <w:sz w:val="24"/>
              <w:szCs w:val="24"/>
              <w:lang w:val="cs-CZ"/>
            </w:rPr>
            <w:t>é</w:t>
          </w:r>
          <w:r w:rsidRPr="008077ED">
            <w:rPr>
              <w:rFonts w:ascii="Leelawadee" w:hAnsi="Leelawadee" w:cs="Leelawadee"/>
              <w:b/>
              <w:bCs/>
              <w:color w:val="1498BF"/>
              <w:sz w:val="24"/>
              <w:szCs w:val="24"/>
              <w:lang w:val="cs-CZ"/>
            </w:rPr>
            <w:t xml:space="preserve"> pojmy</w:t>
          </w:r>
        </w:p>
        <w:p w14:paraId="512BDBD9" w14:textId="79E6E091" w:rsidR="009F26DA" w:rsidRPr="008077ED" w:rsidRDefault="009F26DA" w:rsidP="009F26DA">
          <w:pPr>
            <w:jc w:val="both"/>
            <w:rPr>
              <w:rFonts w:eastAsia="Times New Roman" w:cstheme="minorHAnsi"/>
              <w:sz w:val="24"/>
              <w:szCs w:val="24"/>
              <w:lang w:val="cs-CZ"/>
            </w:rPr>
          </w:pPr>
          <w:r w:rsidRPr="008077ED">
            <w:rPr>
              <w:rFonts w:eastAsia="Times New Roman" w:cstheme="minorHAnsi"/>
              <w:sz w:val="24"/>
              <w:szCs w:val="24"/>
              <w:lang w:val="cs-CZ"/>
            </w:rPr>
            <w:t xml:space="preserve">V rychle se měnícím světě pod výzvami globalizace a nových technologií; pro boj s nadnárodními zločiny, jako je organizovaný zločin, korupce a terorismus a vnitrostátní zločiny, mají mechanismy a nástroje mezinárodní spolupráce v trestních věcech </w:t>
          </w:r>
          <w:r w:rsidR="00086EE4">
            <w:rPr>
              <w:rFonts w:eastAsia="Times New Roman" w:cstheme="minorHAnsi"/>
              <w:sz w:val="24"/>
              <w:szCs w:val="24"/>
              <w:lang w:val="cs-CZ"/>
            </w:rPr>
            <w:t>velký</w:t>
          </w:r>
          <w:r w:rsidRPr="008077ED">
            <w:rPr>
              <w:rFonts w:eastAsia="Times New Roman" w:cstheme="minorHAnsi"/>
              <w:sz w:val="24"/>
              <w:szCs w:val="24"/>
              <w:lang w:val="cs-CZ"/>
            </w:rPr>
            <w:t xml:space="preserve"> význam. Ve snaze zajistit svým občanům bezpečí a ochranu je důležité, aby státy posílily svou schopnost rychle a efektivně řešit požadavky na mezinárodní spolupráci založen</w:t>
          </w:r>
          <w:r w:rsidR="002B69F6">
            <w:rPr>
              <w:rFonts w:eastAsia="Times New Roman" w:cstheme="minorHAnsi"/>
              <w:sz w:val="24"/>
              <w:szCs w:val="24"/>
              <w:lang w:val="cs-CZ"/>
            </w:rPr>
            <w:t>ou</w:t>
          </w:r>
          <w:r w:rsidRPr="008077ED">
            <w:rPr>
              <w:rFonts w:eastAsia="Times New Roman" w:cstheme="minorHAnsi"/>
              <w:sz w:val="24"/>
              <w:szCs w:val="24"/>
              <w:lang w:val="cs-CZ"/>
            </w:rPr>
            <w:t xml:space="preserve"> na řadě smluv v evropském a mezinárodním právu.</w:t>
          </w:r>
        </w:p>
        <w:p w14:paraId="5B011FE9" w14:textId="2AA65850" w:rsidR="009F26DA" w:rsidRPr="008077ED" w:rsidRDefault="009F26DA" w:rsidP="009F26DA">
          <w:pPr>
            <w:jc w:val="both"/>
            <w:rPr>
              <w:rFonts w:eastAsia="Times New Roman" w:cstheme="minorHAnsi"/>
              <w:b/>
              <w:sz w:val="24"/>
              <w:szCs w:val="24"/>
              <w:lang w:val="cs-CZ"/>
            </w:rPr>
          </w:pPr>
          <w:r w:rsidRPr="008077ED">
            <w:rPr>
              <w:rFonts w:eastAsia="Times New Roman" w:cstheme="minorHAnsi"/>
              <w:sz w:val="24"/>
              <w:szCs w:val="24"/>
              <w:lang w:val="cs-CZ"/>
            </w:rPr>
            <w:t>Online kurz HELP</w:t>
          </w:r>
          <w:r w:rsidR="002B69F6">
            <w:rPr>
              <w:rFonts w:eastAsia="Times New Roman" w:cstheme="minorHAnsi"/>
              <w:sz w:val="24"/>
              <w:szCs w:val="24"/>
              <w:lang w:val="cs-CZ"/>
            </w:rPr>
            <w:t xml:space="preserve">: </w:t>
          </w:r>
          <w:r w:rsidRPr="008077ED">
            <w:rPr>
              <w:rFonts w:eastAsia="Times New Roman" w:cstheme="minorHAnsi"/>
              <w:sz w:val="24"/>
              <w:szCs w:val="24"/>
              <w:lang w:val="cs-CZ"/>
            </w:rPr>
            <w:t xml:space="preserve">Mezinárodní spolupráce v trestních věcech zkoumá základní principy mezinárodní justiční spolupráce a řadu právních rámců a právních nástrojů pro spolupráci – aplikované s ohledem na otázky lidských práv. Rozsáhle pokrývá rámce </w:t>
          </w:r>
          <w:r w:rsidRPr="008077ED">
            <w:rPr>
              <w:rFonts w:eastAsia="Times New Roman" w:cstheme="minorHAnsi"/>
              <w:b/>
              <w:sz w:val="24"/>
              <w:szCs w:val="24"/>
              <w:lang w:val="cs-CZ"/>
            </w:rPr>
            <w:t>Rady Evropy (RE) i Evropské unie (EU) spolu s příklady judikatury Evropského soudu pro lidská práva (ESLP) a Soudního dvora EU (SDEU).</w:t>
          </w:r>
        </w:p>
        <w:p w14:paraId="13162C71" w14:textId="77777777" w:rsidR="00265D7F" w:rsidRDefault="009F26DA" w:rsidP="009F26DA">
          <w:pPr>
            <w:jc w:val="both"/>
            <w:rPr>
              <w:rFonts w:eastAsia="Times New Roman" w:cstheme="minorHAnsi"/>
              <w:sz w:val="24"/>
              <w:szCs w:val="24"/>
              <w:lang w:val="cs-CZ"/>
            </w:rPr>
          </w:pPr>
          <w:r w:rsidRPr="008077ED">
            <w:rPr>
              <w:rFonts w:eastAsia="Times New Roman" w:cstheme="minorHAnsi"/>
              <w:sz w:val="24"/>
              <w:szCs w:val="24"/>
              <w:lang w:val="cs-CZ"/>
            </w:rPr>
            <w:t xml:space="preserve">Kurz pokrývá vydávání, vzájemnou právní pomoc, předávání odsouzených osob, dohled nad pachateli, mezinárodní platnost trestních rozsudků a předávání trestního řízení, zabavování a konfiskaci výnosů z trestné činnosti, soubor nástrojů pro mezinárodní spolupráci s odkazy na relevantní informace a </w:t>
          </w:r>
        </w:p>
        <w:p w14:paraId="0BE09B2E" w14:textId="77777777" w:rsidR="00265D7F" w:rsidRDefault="00265D7F" w:rsidP="009F26DA">
          <w:pPr>
            <w:jc w:val="both"/>
            <w:rPr>
              <w:rFonts w:eastAsia="Times New Roman" w:cstheme="minorHAnsi"/>
              <w:sz w:val="24"/>
              <w:szCs w:val="24"/>
              <w:lang w:val="cs-CZ"/>
            </w:rPr>
          </w:pPr>
        </w:p>
        <w:p w14:paraId="10EABE1E" w14:textId="54B3AC2A" w:rsidR="009F26DA" w:rsidRPr="008077ED" w:rsidRDefault="009F26DA" w:rsidP="009F26DA">
          <w:pPr>
            <w:jc w:val="both"/>
            <w:rPr>
              <w:rFonts w:eastAsia="Times New Roman" w:cstheme="minorHAnsi"/>
              <w:sz w:val="24"/>
              <w:szCs w:val="24"/>
              <w:lang w:val="cs-CZ"/>
            </w:rPr>
          </w:pPr>
          <w:r w:rsidRPr="008077ED">
            <w:rPr>
              <w:rFonts w:eastAsia="Times New Roman" w:cstheme="minorHAnsi"/>
              <w:sz w:val="24"/>
              <w:szCs w:val="24"/>
              <w:lang w:val="cs-CZ"/>
            </w:rPr>
            <w:t xml:space="preserve">organizace související s mezinárodní </w:t>
          </w:r>
          <w:r w:rsidR="00091BD8">
            <w:rPr>
              <w:rFonts w:eastAsia="Times New Roman" w:cstheme="minorHAnsi"/>
              <w:sz w:val="24"/>
              <w:szCs w:val="24"/>
              <w:lang w:val="cs-CZ"/>
            </w:rPr>
            <w:t>s</w:t>
          </w:r>
          <w:r w:rsidRPr="008077ED">
            <w:rPr>
              <w:rFonts w:eastAsia="Times New Roman" w:cstheme="minorHAnsi"/>
              <w:sz w:val="24"/>
              <w:szCs w:val="24"/>
              <w:lang w:val="cs-CZ"/>
            </w:rPr>
            <w:t>polupr</w:t>
          </w:r>
          <w:r w:rsidR="00091BD8">
            <w:rPr>
              <w:rFonts w:eastAsia="Times New Roman" w:cstheme="minorHAnsi"/>
              <w:sz w:val="24"/>
              <w:szCs w:val="24"/>
              <w:lang w:val="cs-CZ"/>
            </w:rPr>
            <w:t>ací</w:t>
          </w:r>
          <w:r w:rsidRPr="008077ED">
            <w:rPr>
              <w:rFonts w:eastAsia="Times New Roman" w:cstheme="minorHAnsi"/>
              <w:sz w:val="24"/>
              <w:szCs w:val="24"/>
              <w:lang w:val="cs-CZ"/>
            </w:rPr>
            <w:t xml:space="preserve"> v trestních věcech, jakož i pomoc a poradenství při podávání a vyřizování žádostí.</w:t>
          </w:r>
        </w:p>
        <w:p w14:paraId="59B3E9BA" w14:textId="77777777" w:rsidR="00892046" w:rsidRDefault="00892046" w:rsidP="00CA4E47">
          <w:pPr>
            <w:spacing w:after="0"/>
            <w:ind w:right="175"/>
            <w:jc w:val="both"/>
            <w:rPr>
              <w:rFonts w:ascii="Leelawadee" w:hAnsi="Leelawadee" w:cs="Leelawadee"/>
              <w:b/>
              <w:color w:val="1498BF"/>
              <w:sz w:val="24"/>
              <w:szCs w:val="24"/>
              <w:lang w:val="cs-CZ"/>
            </w:rPr>
          </w:pPr>
        </w:p>
        <w:p w14:paraId="62692ED2" w14:textId="2FEAB1CE" w:rsidR="00CA4E47" w:rsidRPr="008077ED" w:rsidRDefault="009F26DA" w:rsidP="00CA4E47">
          <w:pPr>
            <w:spacing w:after="0"/>
            <w:ind w:right="175"/>
            <w:jc w:val="both"/>
            <w:rPr>
              <w:rFonts w:ascii="Leelawadee" w:hAnsi="Leelawadee" w:cs="Leelawadee"/>
              <w:b/>
              <w:color w:val="1498BF"/>
              <w:sz w:val="24"/>
              <w:szCs w:val="24"/>
              <w:lang w:val="cs-CZ"/>
            </w:rPr>
          </w:pPr>
          <w:r w:rsidRPr="008077ED">
            <w:rPr>
              <w:rFonts w:ascii="Leelawadee" w:hAnsi="Leelawadee" w:cs="Leelawadee"/>
              <w:b/>
              <w:color w:val="1498BF"/>
              <w:sz w:val="24"/>
              <w:szCs w:val="24"/>
              <w:lang w:val="cs-CZ"/>
            </w:rPr>
            <w:t>Projek</w:t>
          </w:r>
          <w:r w:rsidR="00CA4E47" w:rsidRPr="008077ED">
            <w:rPr>
              <w:rFonts w:ascii="Leelawadee" w:hAnsi="Leelawadee" w:cs="Leelawadee"/>
              <w:b/>
              <w:color w:val="1498BF"/>
              <w:sz w:val="24"/>
              <w:szCs w:val="24"/>
              <w:lang w:val="cs-CZ"/>
            </w:rPr>
            <w:t>t</w:t>
          </w:r>
        </w:p>
        <w:p w14:paraId="725093D2" w14:textId="77777777" w:rsidR="00962604" w:rsidRPr="008077ED" w:rsidRDefault="00962604" w:rsidP="00CA4E47">
          <w:pPr>
            <w:spacing w:after="0"/>
            <w:ind w:right="175"/>
            <w:jc w:val="both"/>
            <w:rPr>
              <w:rFonts w:ascii="Leelawadee" w:hAnsi="Leelawadee" w:cs="Leelawadee"/>
              <w:b/>
              <w:color w:val="1498BF"/>
              <w:sz w:val="24"/>
              <w:szCs w:val="24"/>
              <w:lang w:val="cs-CZ"/>
            </w:rPr>
          </w:pPr>
        </w:p>
        <w:p w14:paraId="2EED3B90" w14:textId="05B4142E" w:rsidR="009F26DA" w:rsidRPr="008077ED" w:rsidRDefault="009F26DA" w:rsidP="009F26DA">
          <w:pPr>
            <w:spacing w:after="0"/>
            <w:ind w:right="175"/>
            <w:jc w:val="both"/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</w:pPr>
          <w:r w:rsidRPr="008077ED">
            <w:rPr>
              <w:rStyle w:val="Hypertextovodkaz"/>
              <w:lang w:val="cs-CZ"/>
            </w:rPr>
            <w:t xml:space="preserve">Projekt HELP „Prevence radikalizace, soudní reakce na terorismus a mezinárodní spolupráce v trestních věcech“ 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(HELP RP-TERR-ICCM) je financován Evropskou unií a realizován Radou Evropy prostřednictvím svého programu HELP ve spolupráci s </w:t>
          </w:r>
          <w:hyperlink r:id="rId12" w:tgtFrame="_blank" w:history="1">
            <w:r w:rsidR="003C0EF0" w:rsidRPr="008077ED">
              <w:rPr>
                <w:rFonts w:cstheme="minorHAnsi"/>
                <w:color w:val="000000" w:themeColor="text1"/>
                <w:sz w:val="24"/>
                <w:szCs w:val="24"/>
                <w:lang w:val="cs-CZ"/>
              </w:rPr>
              <w:t>Konfederací evropských probačních služeb</w:t>
            </w:r>
          </w:hyperlink>
          <w:r w:rsidR="003C0EF0" w:rsidRPr="008077ED">
            <w:rPr>
              <w:rFonts w:cstheme="minorHAnsi"/>
              <w:b/>
              <w:color w:val="000000" w:themeColor="text1"/>
              <w:sz w:val="24"/>
              <w:szCs w:val="24"/>
              <w:lang w:val="cs-CZ"/>
            </w:rPr>
            <w:t> 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(CEP).</w:t>
          </w:r>
        </w:p>
        <w:p w14:paraId="4DA4A07F" w14:textId="77777777" w:rsidR="00CA4E47" w:rsidRPr="008077ED" w:rsidRDefault="00CA4E47" w:rsidP="00CA4E47">
          <w:pPr>
            <w:spacing w:after="0"/>
            <w:ind w:right="175"/>
            <w:jc w:val="both"/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</w:pPr>
        </w:p>
        <w:p w14:paraId="1B134E54" w14:textId="5502C842" w:rsidR="00F33A6A" w:rsidRPr="008077ED" w:rsidRDefault="00F33A6A" w:rsidP="00F33A6A">
          <w:pPr>
            <w:spacing w:after="0"/>
            <w:ind w:right="175"/>
            <w:jc w:val="both"/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</w:pP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Hlavním cílem projektu je zlepšit justiční spolupráci v trestních věcech a přispět k účinné a koherentní implementaci souvisejících evropských nástrojů zvýšením kapacit a vzájemné důvěry </w:t>
          </w:r>
          <w:r w:rsidR="006B17E8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právních profesionálů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. Důraz je kladen na nadnárodní spolupráci a následující priority: vzájemné uznávání nástrojů; soudní reakce na terorismus, zejména posílením prevence radikalizace, zejména ve věznicích; otázky související s vyšetřovací vazbou, zejména zvýš</w:t>
          </w:r>
          <w:r w:rsidR="006B17E8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ení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 povědomí o judikatuře Evropského soudu pro lidská práva (ESLP); fungování evropských a dalších mezinárodních právních nástrojů/smluv o mezinárodní spolupráci v trestních věcech.</w:t>
          </w:r>
        </w:p>
        <w:p w14:paraId="131873C7" w14:textId="77777777" w:rsidR="00CA4E47" w:rsidRPr="008077ED" w:rsidRDefault="00CA4E47" w:rsidP="00CA4E47">
          <w:pPr>
            <w:spacing w:after="0"/>
            <w:ind w:right="175"/>
            <w:jc w:val="both"/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</w:pPr>
        </w:p>
        <w:p w14:paraId="1693BCA4" w14:textId="18F0BF1D" w:rsidR="00F33A6A" w:rsidRPr="008077ED" w:rsidRDefault="002573A3" w:rsidP="00F33A6A">
          <w:pPr>
            <w:spacing w:after="0"/>
            <w:ind w:right="175"/>
            <w:jc w:val="both"/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</w:pPr>
          <w:r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P</w:t>
          </w:r>
          <w:r w:rsidR="00F33A6A"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rojekt posiluje systémy trestního soudnictví EU prostřednictvím (i) rozvoje a implementace řady přeshraničních seminářů/kurzů ve vybraných zemích EU a (ii) konference na vysoké úrovni na podporu vzájemného učení. Tyto akce poskytnou </w:t>
          </w:r>
          <w:r w:rsidR="00F10B6B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právním profesionálům</w:t>
          </w:r>
          <w:r w:rsidR="00F33A6A"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 jedinečnou příležitost k výměně zkušeností a osvědčených postupů s národním a nadnárodním přístupem.</w:t>
          </w:r>
        </w:p>
        <w:p w14:paraId="109DBBE7" w14:textId="77777777" w:rsidR="00BF73C8" w:rsidRPr="008077ED" w:rsidRDefault="00BF73C8" w:rsidP="00BF73C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  <w:b/>
              <w:color w:val="1498BF"/>
              <w:sz w:val="24"/>
              <w:szCs w:val="24"/>
              <w:lang w:val="cs-CZ"/>
            </w:rPr>
          </w:pPr>
        </w:p>
        <w:p w14:paraId="0E3E433F" w14:textId="507428F9" w:rsidR="00BF73C8" w:rsidRPr="008077ED" w:rsidRDefault="00F33A6A" w:rsidP="00BF73C8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Leelawadee" w:hAnsi="Leelawadee" w:cs="Leelawadee"/>
              <w:b/>
              <w:color w:val="1498BF"/>
              <w:sz w:val="24"/>
              <w:szCs w:val="24"/>
              <w:lang w:val="cs-CZ"/>
            </w:rPr>
          </w:pPr>
          <w:r w:rsidRPr="008077ED">
            <w:rPr>
              <w:rFonts w:ascii="Leelawadee" w:hAnsi="Leelawadee" w:cs="Leelawadee"/>
              <w:b/>
              <w:color w:val="1498BF"/>
              <w:sz w:val="24"/>
              <w:szCs w:val="24"/>
              <w:lang w:val="cs-CZ"/>
            </w:rPr>
            <w:t>Kurz</w:t>
          </w:r>
        </w:p>
        <w:p w14:paraId="65AED869" w14:textId="0008A388" w:rsidR="00F33A6A" w:rsidRPr="008077ED" w:rsidRDefault="00F33A6A" w:rsidP="00F33A6A">
          <w:pPr>
            <w:spacing w:after="0"/>
            <w:ind w:right="175"/>
            <w:jc w:val="both"/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</w:pP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Kurz byl původně </w:t>
          </w:r>
          <w:r w:rsidR="00887676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zpracován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 v roce 2017</w:t>
          </w:r>
          <w:r w:rsidR="00887676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, v 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roce 2021 byl aktualizován v rámci projektu EU-CoE „HELP in the EU II“. Proces aktualizace </w:t>
          </w:r>
          <w:r w:rsidR="00887676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kurzu 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koordinoval sekretariát HELP a zapojilo se do něj několik zástupců příslušn</w:t>
          </w:r>
          <w:r w:rsidR="00A93F52"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ých služeb Rady Evropy: Oddělení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 vzá</w:t>
          </w:r>
          <w:r w:rsidR="00A93F52"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jemné právní pomoci; O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ddělení penologické spolupráce, </w:t>
          </w:r>
          <w:r w:rsidR="00A93F52"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Oddělení Medicrime a obchodování s orgány a O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ddělení pro spolupráci v oblasti trestního práva, jakož i z </w:t>
          </w:r>
          <w:r w:rsidR="00A93F52"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ka</w:t>
          </w:r>
          <w:r w:rsidR="005435E6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n</w:t>
          </w:r>
          <w:r w:rsidR="00A93F52"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celář 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Evropského soudu pro lidská práva.</w:t>
          </w:r>
        </w:p>
        <w:p w14:paraId="364079A0" w14:textId="6286BFF9" w:rsidR="00CA4E47" w:rsidRPr="008077ED" w:rsidRDefault="00CA4E47" w:rsidP="00CA4E47">
          <w:pPr>
            <w:autoSpaceDE w:val="0"/>
            <w:autoSpaceDN w:val="0"/>
            <w:adjustRightInd w:val="0"/>
            <w:spacing w:after="0"/>
            <w:jc w:val="both"/>
            <w:rPr>
              <w:rFonts w:cstheme="minorHAnsi"/>
              <w:color w:val="000000" w:themeColor="text1"/>
              <w:sz w:val="24"/>
              <w:szCs w:val="24"/>
              <w:lang w:val="cs-CZ"/>
            </w:rPr>
          </w:pPr>
        </w:p>
        <w:p w14:paraId="74966C78" w14:textId="64B27BB9" w:rsidR="00F33A6A" w:rsidRPr="008077ED" w:rsidRDefault="00F33A6A" w:rsidP="00F33A6A">
          <w:pPr>
            <w:spacing w:after="0"/>
            <w:ind w:right="175"/>
            <w:jc w:val="both"/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</w:pP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>Kurz je realizován v rámci</w:t>
          </w:r>
          <w:r w:rsidR="00E55EA5"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 projektu EU-RE</w:t>
          </w:r>
          <w:r w:rsidRPr="008077ED">
            <w:rPr>
              <w:rFonts w:cstheme="minorHAnsi"/>
              <w:bCs/>
              <w:color w:val="000000" w:themeColor="text1"/>
              <w:sz w:val="24"/>
              <w:szCs w:val="24"/>
              <w:lang w:val="cs-CZ"/>
            </w:rPr>
            <w:t xml:space="preserve"> „HELP Prevence radikalizace, soudní reakce na terorismus a mezinárodní spolupráce v trestních věcech“.</w:t>
          </w:r>
        </w:p>
        <w:p w14:paraId="4095B8CE" w14:textId="05ABFEF2" w:rsidR="00CA4E47" w:rsidRPr="008077ED" w:rsidRDefault="00CA4E47" w:rsidP="00CA4E47">
          <w:pPr>
            <w:pStyle w:val="04xlpa"/>
            <w:spacing w:before="120" w:beforeAutospacing="0" w:after="0" w:afterAutospacing="0"/>
            <w:jc w:val="both"/>
            <w:rPr>
              <w:rFonts w:asciiTheme="minorHAnsi" w:hAnsiTheme="minorHAnsi" w:cstheme="minorHAnsi"/>
              <w:lang w:val="cs-CZ"/>
            </w:rPr>
          </w:pPr>
          <w:r w:rsidRPr="008077ED">
            <w:rPr>
              <w:rStyle w:val="jsgrdq"/>
              <w:rFonts w:asciiTheme="minorHAnsi" w:eastAsiaTheme="majorEastAsia" w:hAnsiTheme="minorHAnsi" w:cstheme="minorHAnsi"/>
              <w:color w:val="000000"/>
              <w:lang w:val="cs-CZ"/>
            </w:rPr>
            <w:br w:type="page"/>
          </w:r>
        </w:p>
        <w:p w14:paraId="3EBE597B" w14:textId="3B0083CA" w:rsidR="00BF73C8" w:rsidRPr="008077ED" w:rsidRDefault="00023361" w:rsidP="00BF73C8">
          <w:pPr>
            <w:pStyle w:val="Nadpis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both"/>
            <w:rPr>
              <w:rFonts w:ascii="Leelawadee" w:hAnsi="Leelawadee" w:cs="Leelawadee"/>
              <w:color w:val="1498BF"/>
              <w:sz w:val="22"/>
              <w:szCs w:val="22"/>
              <w:lang w:val="cs-CZ"/>
            </w:rPr>
          </w:pPr>
          <w:r w:rsidRPr="008077ED">
            <w:rPr>
              <w:rFonts w:ascii="Leelawadee" w:hAnsi="Leelawadee" w:cs="Leelawadee"/>
              <w:color w:val="1498BF"/>
              <w:sz w:val="22"/>
              <w:szCs w:val="22"/>
              <w:lang w:val="cs-CZ"/>
            </w:rPr>
            <w:lastRenderedPageBreak/>
            <w:t xml:space="preserve">Popis </w:t>
          </w:r>
          <w:r w:rsidR="00EB2967">
            <w:rPr>
              <w:rFonts w:ascii="Leelawadee" w:hAnsi="Leelawadee" w:cs="Leelawadee"/>
              <w:color w:val="1498BF"/>
              <w:sz w:val="22"/>
              <w:szCs w:val="22"/>
              <w:lang w:val="cs-CZ"/>
            </w:rPr>
            <w:t>kurzu</w:t>
          </w:r>
        </w:p>
        <w:p w14:paraId="526EAF42" w14:textId="1BCD5E5B" w:rsidR="00EB2967" w:rsidRPr="00030224" w:rsidRDefault="00EB2967" w:rsidP="00023361">
          <w:pPr>
            <w:pStyle w:val="Nadpis3"/>
            <w:jc w:val="both"/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</w:pPr>
          <w:r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Kurz s Radou Evropy </w:t>
          </w:r>
          <w:r w:rsidR="00F00CEF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– programem HELP </w:t>
          </w:r>
          <w:r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spolupořádá Česká advokátní komora a Justiční Akademie</w:t>
          </w:r>
          <w:r w:rsidR="00F00175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 a kurzu se budou účastnit </w:t>
          </w:r>
          <w:r w:rsidR="00F00175" w:rsidRPr="00F00CEF"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  <w:t>advokáti, advokátní koncipienti, soudci a státní zástupci</w:t>
          </w:r>
          <w:r w:rsidR="00F00175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. </w:t>
          </w:r>
          <w:r w:rsidR="00F00175" w:rsidRPr="00030224"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  <w:t>Česká advokátní komora má pro advokáty a advokátní koncipienty rezervováno 20 míst.</w:t>
          </w:r>
          <w:r w:rsidR="00F32802"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  <w:t xml:space="preserve"> </w:t>
          </w:r>
        </w:p>
        <w:p w14:paraId="15DE8C3D" w14:textId="432633D9" w:rsidR="00023361" w:rsidRPr="00652B9C" w:rsidRDefault="00023361" w:rsidP="00030224">
          <w:pPr>
            <w:pStyle w:val="Nadpis3"/>
            <w:jc w:val="both"/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</w:pPr>
          <w:r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Zahájení kurzu proběhne </w:t>
          </w:r>
          <w:r w:rsidRPr="00473130"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  <w:t>online 5. dubna 2022</w:t>
          </w:r>
          <w:r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 a sejde se na něm přibližně</w:t>
          </w:r>
          <w:r w:rsidR="00A93F52"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 45 účastníků (českých soudců, s</w:t>
          </w:r>
          <w:r w:rsidR="004C00B0"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t</w:t>
          </w:r>
          <w:r w:rsidR="00A93F52"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átních zástupců</w:t>
          </w:r>
          <w:r w:rsidR="00152E5F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, advokátů a advokátních koncipientů</w:t>
          </w:r>
          <w:r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). </w:t>
          </w:r>
          <w:r w:rsidR="002E3405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Součástí zahajovacího </w:t>
          </w:r>
          <w:r w:rsidR="00DE386B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semináře</w:t>
          </w:r>
          <w:r w:rsidR="002E3405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 bude představení platformy Rady Evropy, kterou budou účastníci využívat pro </w:t>
          </w:r>
          <w:r w:rsidR="00F00CEF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online samo</w:t>
          </w:r>
          <w:r w:rsidR="002E3405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studium, představení národních školitelů, představení účastníků a </w:t>
          </w:r>
          <w:r w:rsidR="00DE386B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workshop se školiteli. </w:t>
          </w:r>
          <w:r w:rsidR="00652B9C"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  <w:t>Detailní p</w:t>
          </w:r>
          <w:r w:rsidR="00DE386B" w:rsidRPr="00652B9C"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  <w:t xml:space="preserve">rogram zahajovacího semináře bude zaslán </w:t>
          </w:r>
          <w:r w:rsidR="00927F63" w:rsidRPr="00652B9C"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  <w:t xml:space="preserve">registrovaným účastníkům </w:t>
          </w:r>
          <w:r w:rsidR="00652B9C"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  <w:t>před konáním tohoto semináře</w:t>
          </w:r>
          <w:r w:rsidR="00DE386B" w:rsidRPr="00652B9C"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  <w:t>.</w:t>
          </w:r>
        </w:p>
        <w:p w14:paraId="6C5DCB57" w14:textId="7C9DA8F0" w:rsidR="00DE386B" w:rsidRPr="00BE30BD" w:rsidRDefault="00DE3008" w:rsidP="00030224">
          <w:pPr>
            <w:jc w:val="both"/>
            <w:rPr>
              <w:rFonts w:cstheme="minorHAnsi"/>
              <w:b/>
              <w:bCs/>
              <w:sz w:val="24"/>
              <w:szCs w:val="24"/>
              <w:lang w:val="cs-CZ"/>
            </w:rPr>
          </w:pPr>
          <w:r w:rsidRPr="00927F63">
            <w:rPr>
              <w:rFonts w:cstheme="minorHAnsi"/>
              <w:sz w:val="24"/>
              <w:szCs w:val="24"/>
              <w:lang w:val="cs-CZ"/>
            </w:rPr>
            <w:t>Navazující</w:t>
          </w:r>
          <w:r w:rsidR="00DE386B" w:rsidRPr="00927F63">
            <w:rPr>
              <w:rFonts w:cstheme="minorHAnsi"/>
              <w:sz w:val="24"/>
              <w:szCs w:val="24"/>
              <w:lang w:val="cs-CZ"/>
            </w:rPr>
            <w:t xml:space="preserve"> studium </w:t>
          </w:r>
          <w:r w:rsidRPr="00927F63">
            <w:rPr>
              <w:rFonts w:cstheme="minorHAnsi"/>
              <w:sz w:val="24"/>
              <w:szCs w:val="24"/>
              <w:lang w:val="cs-CZ"/>
            </w:rPr>
            <w:t xml:space="preserve">kurzu </w:t>
          </w:r>
          <w:r w:rsidR="00DE386B" w:rsidRPr="00927F63">
            <w:rPr>
              <w:rFonts w:cstheme="minorHAnsi"/>
              <w:sz w:val="24"/>
              <w:szCs w:val="24"/>
              <w:lang w:val="cs-CZ"/>
            </w:rPr>
            <w:t>bude probíhat online formou samostudia níže uvedených modulů dle pokynů národních školitelů.</w:t>
          </w:r>
          <w:r w:rsidR="00452A39" w:rsidRPr="00927F63">
            <w:rPr>
              <w:rFonts w:cstheme="minorHAnsi"/>
              <w:sz w:val="24"/>
              <w:szCs w:val="24"/>
              <w:lang w:val="cs-CZ"/>
            </w:rPr>
            <w:t xml:space="preserve"> </w:t>
          </w:r>
          <w:r w:rsidR="00F32802" w:rsidRPr="00BE30BD">
            <w:rPr>
              <w:rFonts w:cstheme="minorHAnsi"/>
              <w:b/>
              <w:bCs/>
              <w:sz w:val="24"/>
              <w:szCs w:val="24"/>
              <w:lang w:val="cs-CZ"/>
            </w:rPr>
            <w:t xml:space="preserve">Kurz bude zahájen 5. dubna a </w:t>
          </w:r>
          <w:r w:rsidR="00BE30BD" w:rsidRPr="00BE30BD">
            <w:rPr>
              <w:rFonts w:cstheme="minorHAnsi"/>
              <w:b/>
              <w:bCs/>
              <w:sz w:val="24"/>
              <w:szCs w:val="24"/>
              <w:lang w:val="cs-CZ"/>
            </w:rPr>
            <w:t xml:space="preserve">ukončen bude </w:t>
          </w:r>
          <w:r w:rsidR="00051201">
            <w:rPr>
              <w:rFonts w:cstheme="minorHAnsi"/>
              <w:b/>
              <w:bCs/>
              <w:sz w:val="24"/>
              <w:szCs w:val="24"/>
              <w:lang w:val="cs-CZ"/>
            </w:rPr>
            <w:t>během</w:t>
          </w:r>
          <w:r w:rsidR="00BE30BD" w:rsidRPr="00BE30BD">
            <w:rPr>
              <w:rFonts w:cstheme="minorHAnsi"/>
              <w:b/>
              <w:bCs/>
              <w:sz w:val="24"/>
              <w:szCs w:val="24"/>
              <w:lang w:val="cs-CZ"/>
            </w:rPr>
            <w:t xml:space="preserve"> června 2022.</w:t>
          </w:r>
        </w:p>
        <w:p w14:paraId="09266730" w14:textId="340D31ED" w:rsidR="00023361" w:rsidRPr="008077ED" w:rsidRDefault="00E55EA5" w:rsidP="00CA4E47">
          <w:pPr>
            <w:pStyle w:val="Nadpis3"/>
            <w:spacing w:before="0" w:after="0" w:line="240" w:lineRule="auto"/>
            <w:jc w:val="both"/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</w:pPr>
          <w:r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Kurz HELP o mezinárodní spolupráci v trestních věcech je otevřen pro právní</w:t>
          </w:r>
          <w:r w:rsidR="00A93F52"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 profesionály</w:t>
          </w:r>
          <w:r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 xml:space="preserve">, kteří jej absolvují s pomocí </w:t>
          </w:r>
          <w:r w:rsidR="00152E5F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národních školitelů</w:t>
          </w:r>
          <w:r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, a obsahuje 6 povinných modulů</w:t>
          </w:r>
          <w:r w:rsidR="00023361" w:rsidRPr="008077ED"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  <w:t>:</w:t>
          </w:r>
        </w:p>
        <w:p w14:paraId="4AFD56F9" w14:textId="1960502D" w:rsidR="00CA4E47" w:rsidRPr="008077ED" w:rsidRDefault="00CA4E47" w:rsidP="00023361">
          <w:pPr>
            <w:pStyle w:val="Nadpis3"/>
            <w:spacing w:before="0" w:after="0" w:line="240" w:lineRule="auto"/>
            <w:jc w:val="both"/>
            <w:rPr>
              <w:rFonts w:asciiTheme="minorHAnsi" w:eastAsiaTheme="minorHAnsi" w:hAnsiTheme="minorHAnsi" w:cstheme="minorHAnsi"/>
              <w:bCs/>
              <w:color w:val="auto"/>
              <w:sz w:val="24"/>
              <w:szCs w:val="24"/>
              <w:lang w:val="cs-CZ"/>
            </w:rPr>
          </w:pPr>
        </w:p>
        <w:p w14:paraId="0C435CFA" w14:textId="3FB0CF50" w:rsidR="00023361" w:rsidRPr="00D17261" w:rsidRDefault="000233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  <w:r w:rsidRPr="00D17261">
            <w:rPr>
              <w:rFonts w:eastAsiaTheme="minorHAnsi"/>
              <w:b/>
              <w:bCs/>
              <w:lang w:val="cs-CZ"/>
            </w:rPr>
            <w:t>1. Úvod</w:t>
          </w:r>
        </w:p>
        <w:p w14:paraId="7D0E05ED" w14:textId="77777777" w:rsidR="00D17261" w:rsidRPr="00D17261" w:rsidRDefault="00D172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</w:p>
        <w:p w14:paraId="0F528E5B" w14:textId="1E065B72" w:rsidR="00023361" w:rsidRPr="00D17261" w:rsidRDefault="000233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  <w:r w:rsidRPr="00D17261">
            <w:rPr>
              <w:rFonts w:eastAsiaTheme="minorHAnsi"/>
              <w:b/>
              <w:bCs/>
              <w:lang w:val="cs-CZ"/>
            </w:rPr>
            <w:t>2. Vydání a předání</w:t>
          </w:r>
        </w:p>
        <w:p w14:paraId="74EEF21D" w14:textId="77777777" w:rsidR="00D17261" w:rsidRPr="00D17261" w:rsidRDefault="00D172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</w:p>
        <w:p w14:paraId="6D2C00FD" w14:textId="0DCB2A3D" w:rsidR="00023361" w:rsidRPr="00D17261" w:rsidRDefault="000233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  <w:r w:rsidRPr="00D17261">
            <w:rPr>
              <w:rFonts w:eastAsiaTheme="minorHAnsi"/>
              <w:b/>
              <w:bCs/>
              <w:lang w:val="cs-CZ"/>
            </w:rPr>
            <w:t>3. Vzájemná právní pomoc</w:t>
          </w:r>
        </w:p>
        <w:p w14:paraId="4620289F" w14:textId="77777777" w:rsidR="00D17261" w:rsidRPr="00D17261" w:rsidRDefault="00D172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</w:p>
        <w:p w14:paraId="4C2ED223" w14:textId="5AC33A05" w:rsidR="00023361" w:rsidRPr="00D17261" w:rsidRDefault="000233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  <w:r w:rsidRPr="00D17261">
            <w:rPr>
              <w:rFonts w:eastAsiaTheme="minorHAnsi"/>
              <w:b/>
              <w:bCs/>
              <w:lang w:val="cs-CZ"/>
            </w:rPr>
            <w:t>4. Předávání odsouzených osob</w:t>
          </w:r>
        </w:p>
        <w:p w14:paraId="0E95BEFE" w14:textId="77777777" w:rsidR="00D17261" w:rsidRPr="00D17261" w:rsidRDefault="00D172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</w:p>
        <w:p w14:paraId="3B4055AB" w14:textId="21CCBC57" w:rsidR="00023361" w:rsidRPr="00D17261" w:rsidRDefault="000233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  <w:r w:rsidRPr="00D17261">
            <w:rPr>
              <w:rFonts w:eastAsiaTheme="minorHAnsi"/>
              <w:b/>
              <w:bCs/>
              <w:lang w:val="cs-CZ"/>
            </w:rPr>
            <w:t>5. Předání řízení, mezinárodní platnost trestních rozsudků a dohled nad odsouzenými osobami</w:t>
          </w:r>
        </w:p>
        <w:p w14:paraId="46621392" w14:textId="77777777" w:rsidR="00D17261" w:rsidRPr="00D17261" w:rsidRDefault="00D172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</w:p>
        <w:p w14:paraId="2E234981" w14:textId="3FC2F2A7" w:rsidR="00023361" w:rsidRPr="00D17261" w:rsidRDefault="00023361" w:rsidP="00D17261">
          <w:pPr>
            <w:pStyle w:val="Bezmezer"/>
            <w:rPr>
              <w:rFonts w:eastAsiaTheme="minorHAnsi"/>
              <w:b/>
              <w:bCs/>
              <w:lang w:val="cs-CZ"/>
            </w:rPr>
          </w:pPr>
          <w:r w:rsidRPr="00D17261">
            <w:rPr>
              <w:rFonts w:eastAsiaTheme="minorHAnsi"/>
              <w:b/>
              <w:bCs/>
              <w:lang w:val="cs-CZ"/>
            </w:rPr>
            <w:t>6. Zajištění a konfiskace výnosů z trestné činnosti</w:t>
          </w:r>
        </w:p>
        <w:p w14:paraId="5128CBEE" w14:textId="77777777" w:rsidR="00CA4E47" w:rsidRPr="008077ED" w:rsidRDefault="00CA4E47" w:rsidP="00CA4E47">
          <w:pPr>
            <w:pStyle w:val="Nadpis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both"/>
            <w:rPr>
              <w:rFonts w:asciiTheme="minorHAnsi" w:eastAsiaTheme="minorHAnsi" w:hAnsiTheme="minorHAnsi" w:cstheme="minorHAnsi"/>
              <w:b w:val="0"/>
              <w:color w:val="auto"/>
              <w:sz w:val="24"/>
              <w:szCs w:val="24"/>
              <w:lang w:val="cs-CZ"/>
            </w:rPr>
          </w:pPr>
        </w:p>
        <w:p w14:paraId="3225CFD5" w14:textId="7F637A65" w:rsidR="00BF73C8" w:rsidRPr="00916EE7" w:rsidRDefault="00D00D47" w:rsidP="00BF73C8">
          <w:pPr>
            <w:spacing w:after="0"/>
            <w:jc w:val="both"/>
            <w:rPr>
              <w:b/>
              <w:bCs/>
              <w:sz w:val="24"/>
              <w:szCs w:val="24"/>
              <w:lang w:val="cs-CZ"/>
            </w:rPr>
          </w:pPr>
          <w:r>
            <w:rPr>
              <w:sz w:val="24"/>
              <w:szCs w:val="24"/>
              <w:lang w:val="cs-CZ"/>
            </w:rPr>
            <w:t xml:space="preserve">Po absolvování všech povinných modulů </w:t>
          </w:r>
          <w:r w:rsidR="002A0B4B">
            <w:rPr>
              <w:sz w:val="24"/>
              <w:szCs w:val="24"/>
              <w:lang w:val="cs-CZ"/>
            </w:rPr>
            <w:t>skládají</w:t>
          </w:r>
          <w:r>
            <w:rPr>
              <w:sz w:val="24"/>
              <w:szCs w:val="24"/>
              <w:lang w:val="cs-CZ"/>
            </w:rPr>
            <w:t xml:space="preserve"> účastníci kurzu závěrečný test a</w:t>
          </w:r>
          <w:r w:rsidR="00916EE7">
            <w:rPr>
              <w:sz w:val="24"/>
              <w:szCs w:val="24"/>
              <w:lang w:val="cs-CZ"/>
            </w:rPr>
            <w:t xml:space="preserve"> pokud uspějí, </w:t>
          </w:r>
          <w:r w:rsidR="002A0B4B">
            <w:rPr>
              <w:b/>
              <w:bCs/>
              <w:sz w:val="24"/>
              <w:szCs w:val="24"/>
              <w:lang w:val="cs-CZ"/>
            </w:rPr>
            <w:t>získají</w:t>
          </w:r>
          <w:r w:rsidR="00916EE7" w:rsidRPr="00916EE7">
            <w:rPr>
              <w:b/>
              <w:bCs/>
              <w:sz w:val="24"/>
              <w:szCs w:val="24"/>
              <w:lang w:val="cs-CZ"/>
            </w:rPr>
            <w:t xml:space="preserve"> od Rady Evropy originální certifikát o absolvování kurzu.</w:t>
          </w:r>
        </w:p>
        <w:p w14:paraId="41BCD969" w14:textId="04ED59FB" w:rsidR="000444B7" w:rsidRDefault="000444B7" w:rsidP="00BF73C8">
          <w:pPr>
            <w:spacing w:after="0"/>
            <w:jc w:val="both"/>
            <w:rPr>
              <w:sz w:val="24"/>
              <w:szCs w:val="24"/>
              <w:lang w:val="cs-CZ"/>
            </w:rPr>
          </w:pPr>
        </w:p>
        <w:p w14:paraId="20A19494" w14:textId="71CDB38D" w:rsidR="000444B7" w:rsidRDefault="000444B7" w:rsidP="00BF73C8">
          <w:pPr>
            <w:spacing w:after="0"/>
            <w:jc w:val="both"/>
            <w:rPr>
              <w:sz w:val="24"/>
              <w:szCs w:val="24"/>
              <w:lang w:val="cs-CZ"/>
            </w:rPr>
          </w:pPr>
        </w:p>
        <w:p w14:paraId="7B6E147E" w14:textId="491511BF" w:rsidR="000444B7" w:rsidRDefault="000444B7" w:rsidP="00BF73C8">
          <w:pPr>
            <w:spacing w:after="0"/>
            <w:jc w:val="both"/>
            <w:rPr>
              <w:sz w:val="24"/>
              <w:szCs w:val="24"/>
              <w:lang w:val="cs-CZ"/>
            </w:rPr>
          </w:pPr>
        </w:p>
        <w:p w14:paraId="48569C7C" w14:textId="3DBE218E" w:rsidR="000444B7" w:rsidRDefault="000444B7" w:rsidP="00BF73C8">
          <w:pPr>
            <w:spacing w:after="0"/>
            <w:jc w:val="both"/>
            <w:rPr>
              <w:sz w:val="24"/>
              <w:szCs w:val="24"/>
              <w:lang w:val="cs-CZ"/>
            </w:rPr>
          </w:pPr>
        </w:p>
        <w:p w14:paraId="6C189CC8" w14:textId="77777777" w:rsidR="00BF73C8" w:rsidRPr="008077ED" w:rsidRDefault="00BF73C8" w:rsidP="007171B0">
          <w:pPr>
            <w:rPr>
              <w:rFonts w:ascii="Myriad Pro" w:hAnsi="Myriad Pro" w:cs="Calibri"/>
              <w:b/>
              <w:bCs/>
              <w:color w:val="1498BF"/>
              <w:sz w:val="32"/>
              <w:szCs w:val="32"/>
              <w:lang w:val="cs-CZ"/>
            </w:rPr>
          </w:pPr>
        </w:p>
        <w:p w14:paraId="24887A1E" w14:textId="22C1A98A" w:rsidR="008D5C88" w:rsidRPr="00152E5F" w:rsidRDefault="00051201" w:rsidP="00152E5F">
          <w:pPr>
            <w:rPr>
              <w:lang w:val="cs-CZ"/>
            </w:rPr>
          </w:pPr>
        </w:p>
      </w:sdtContent>
    </w:sdt>
    <w:bookmarkEnd w:id="0" w:displacedByCustomXml="prev"/>
    <w:sectPr w:rsidR="008D5C88" w:rsidRPr="00152E5F" w:rsidSect="007171B0">
      <w:headerReference w:type="default" r:id="rId13"/>
      <w:footerReference w:type="default" r:id="rId14"/>
      <w:pgSz w:w="12240" w:h="15840"/>
      <w:pgMar w:top="1666" w:right="1183" w:bottom="709" w:left="1134" w:header="73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E001" w14:textId="77777777" w:rsidR="00861FAF" w:rsidRDefault="00861FAF">
      <w:pPr>
        <w:spacing w:after="0" w:line="240" w:lineRule="auto"/>
      </w:pPr>
      <w:r>
        <w:separator/>
      </w:r>
    </w:p>
  </w:endnote>
  <w:endnote w:type="continuationSeparator" w:id="0">
    <w:p w14:paraId="27FBAE87" w14:textId="77777777" w:rsidR="00861FAF" w:rsidRDefault="00861FAF">
      <w:pPr>
        <w:spacing w:after="0" w:line="240" w:lineRule="auto"/>
      </w:pPr>
      <w:r>
        <w:continuationSeparator/>
      </w:r>
    </w:p>
  </w:endnote>
  <w:endnote w:type="continuationNotice" w:id="1">
    <w:p w14:paraId="612360FA" w14:textId="77777777" w:rsidR="00861FAF" w:rsidRDefault="00861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aytona">
    <w:altName w:val="Arial"/>
    <w:charset w:val="00"/>
    <w:family w:val="swiss"/>
    <w:pitch w:val="variable"/>
    <w:sig w:usb0="800002EF" w:usb1="0000000A" w:usb2="00000000" w:usb3="00000000" w:csb0="0000019F" w:csb1="00000000"/>
  </w:font>
  <w:font w:name="Leelawadee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9AEB" w14:textId="27C97A87" w:rsidR="00EA3EEE" w:rsidRDefault="00EA3EEE">
    <w:pPr>
      <w:autoSpaceDE w:val="0"/>
      <w:autoSpaceDN w:val="0"/>
      <w:adjustRightInd w:val="0"/>
      <w:spacing w:after="0" w:line="240" w:lineRule="auto"/>
      <w:jc w:val="righ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B4DA" w14:textId="77777777" w:rsidR="00861FAF" w:rsidRDefault="00861FAF">
      <w:pPr>
        <w:spacing w:after="0" w:line="240" w:lineRule="auto"/>
      </w:pPr>
      <w:r>
        <w:separator/>
      </w:r>
    </w:p>
  </w:footnote>
  <w:footnote w:type="continuationSeparator" w:id="0">
    <w:p w14:paraId="17C11A8D" w14:textId="77777777" w:rsidR="00861FAF" w:rsidRDefault="00861FAF">
      <w:pPr>
        <w:spacing w:after="0" w:line="240" w:lineRule="auto"/>
      </w:pPr>
      <w:r>
        <w:continuationSeparator/>
      </w:r>
    </w:p>
  </w:footnote>
  <w:footnote w:type="continuationNotice" w:id="1">
    <w:p w14:paraId="178E2027" w14:textId="77777777" w:rsidR="00861FAF" w:rsidRDefault="00861F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margin" w:tblpXSpec="center" w:tblpY="-421"/>
      <w:tblW w:w="1119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498BF"/>
      <w:tblLayout w:type="fixed"/>
      <w:tblLook w:val="04A0" w:firstRow="1" w:lastRow="0" w:firstColumn="1" w:lastColumn="0" w:noHBand="0" w:noVBand="1"/>
    </w:tblPr>
    <w:tblGrid>
      <w:gridCol w:w="5805"/>
      <w:gridCol w:w="5394"/>
    </w:tblGrid>
    <w:tr w:rsidR="004F324B" w:rsidRPr="00BC244F" w14:paraId="6D4C1EE1" w14:textId="77777777" w:rsidTr="000A3AF7">
      <w:trPr>
        <w:trHeight w:val="936"/>
      </w:trPr>
      <w:tc>
        <w:tcPr>
          <w:tcW w:w="5805" w:type="dxa"/>
          <w:shd w:val="clear" w:color="auto" w:fill="1498BF"/>
          <w:vAlign w:val="center"/>
        </w:tcPr>
        <w:p w14:paraId="5F3553E0" w14:textId="77777777" w:rsidR="004F324B" w:rsidRPr="00BC244F" w:rsidRDefault="004F324B" w:rsidP="004F324B">
          <w:pPr>
            <w:pStyle w:val="Zhlav"/>
            <w:ind w:firstLine="34"/>
            <w:rPr>
              <w:lang w:val="fr-FR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3DC8CF8E" wp14:editId="5BCF5F97">
                <wp:extent cx="2731325" cy="468730"/>
                <wp:effectExtent l="19050" t="0" r="12065" b="198120"/>
                <wp:docPr id="1" name="Picture 1" descr="P:\_coe-settings\desktop\HELP-header-ban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_coe-settings\desktop\HELP-header-banne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42"/>
                        <a:stretch/>
                      </pic:blipFill>
                      <pic:spPr bwMode="auto">
                        <a:xfrm>
                          <a:off x="0" y="0"/>
                          <a:ext cx="2734907" cy="46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4" w:type="dxa"/>
          <w:shd w:val="clear" w:color="auto" w:fill="1498BF"/>
          <w:vAlign w:val="center"/>
        </w:tcPr>
        <w:p w14:paraId="1BDFA1BA" w14:textId="77777777" w:rsidR="004F324B" w:rsidRPr="00BC244F" w:rsidRDefault="004F324B" w:rsidP="004F324B">
          <w:pPr>
            <w:pStyle w:val="Zhlav"/>
            <w:jc w:val="right"/>
            <w:rPr>
              <w:color w:val="FFFFFF" w:themeColor="background1"/>
              <w:lang w:val="fr-FR"/>
            </w:rPr>
          </w:pPr>
          <w:r>
            <w:rPr>
              <w:rFonts w:eastAsiaTheme="minorEastAsia" w:hAnsi="Calibri"/>
              <w:noProof/>
              <w:color w:val="000000" w:themeColor="dark1"/>
              <w:kern w:val="24"/>
              <w:lang w:val="cs-CZ" w:eastAsia="cs-CZ"/>
            </w:rPr>
            <w:drawing>
              <wp:inline distT="0" distB="0" distL="0" distR="0" wp14:anchorId="3D92F800" wp14:editId="4A40F12A">
                <wp:extent cx="2265169" cy="706582"/>
                <wp:effectExtent l="0" t="0" r="1905" b="0"/>
                <wp:docPr id="2" name="Picture 2" descr="C:\Users\pastrana\AppData\Local\Microsoft\Windows\Temporary Internet Files\Content.Outlook\IPYFBPE1\Banniere Web HELP IN THE 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strana\AppData\Local\Microsoft\Windows\Temporary Internet Files\Content.Outlook\IPYFBPE1\Banniere Web HELP IN THE 28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742" r="51"/>
                        <a:stretch/>
                      </pic:blipFill>
                      <pic:spPr bwMode="auto">
                        <a:xfrm>
                          <a:off x="0" y="0"/>
                          <a:ext cx="2270859" cy="708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F324B" w:rsidRPr="00990E31" w14:paraId="3C1CF3FC" w14:textId="77777777" w:rsidTr="000A3AF7">
      <w:trPr>
        <w:trHeight w:val="471"/>
      </w:trPr>
      <w:tc>
        <w:tcPr>
          <w:tcW w:w="11199" w:type="dxa"/>
          <w:gridSpan w:val="2"/>
          <w:shd w:val="clear" w:color="auto" w:fill="1498BF"/>
        </w:tcPr>
        <w:p w14:paraId="1C49946D" w14:textId="77777777" w:rsidR="004F324B" w:rsidRDefault="004F324B" w:rsidP="004F324B">
          <w:pPr>
            <w:pStyle w:val="Zhlav"/>
            <w:rPr>
              <w:rFonts w:ascii="Corbel" w:hAnsi="Corbel"/>
              <w:b/>
              <w:i/>
              <w:color w:val="FFFFFF" w:themeColor="background1"/>
              <w:sz w:val="24"/>
              <w:szCs w:val="24"/>
              <w:lang w:val="fr-FR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</w:pPr>
          <w:r w:rsidRPr="00BD2984">
            <w:rPr>
              <w:rFonts w:ascii="Corbel" w:hAnsi="Corbel"/>
              <w:b/>
              <w:color w:val="FFFFFF" w:themeColor="background1"/>
              <w:sz w:val="24"/>
              <w:szCs w:val="24"/>
              <w:lang w:val="fr-FR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  <w:t xml:space="preserve">EU-CoE </w:t>
          </w:r>
          <w:r>
            <w:rPr>
              <w:rFonts w:ascii="Corbel" w:hAnsi="Corbel"/>
              <w:b/>
              <w:color w:val="FFFFFF" w:themeColor="background1"/>
              <w:sz w:val="24"/>
              <w:szCs w:val="24"/>
              <w:lang w:val="fr-FR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  <w:t xml:space="preserve">HELP </w:t>
          </w:r>
          <w:r w:rsidRPr="00BD2984">
            <w:rPr>
              <w:rFonts w:ascii="Corbel" w:hAnsi="Corbel"/>
              <w:b/>
              <w:color w:val="FFFFFF" w:themeColor="background1"/>
              <w:sz w:val="24"/>
              <w:szCs w:val="24"/>
              <w:lang w:val="fr-FR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  <w:t>Project “</w:t>
          </w:r>
          <w:r w:rsidRPr="00BD2984">
            <w:rPr>
              <w:rFonts w:ascii="Corbel" w:hAnsi="Corbel"/>
              <w:b/>
              <w:i/>
              <w:color w:val="FFFFFF" w:themeColor="background1"/>
              <w:sz w:val="24"/>
              <w:szCs w:val="24"/>
              <w:lang w:val="fr-FR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  <w:t xml:space="preserve">Radicalisation Prevention, Judicial Response to Terrorism </w:t>
          </w:r>
        </w:p>
        <w:p w14:paraId="4DCFE8A6" w14:textId="77777777" w:rsidR="004F324B" w:rsidRPr="00990E31" w:rsidRDefault="004F324B" w:rsidP="004F324B">
          <w:pPr>
            <w:pStyle w:val="Zhlav"/>
            <w:rPr>
              <w:color w:val="FFFFFF" w:themeColor="background1"/>
              <w:lang w:val="en-GB"/>
            </w:rPr>
          </w:pPr>
          <w:r>
            <w:rPr>
              <w:rFonts w:ascii="Corbel" w:hAnsi="Corbel"/>
              <w:b/>
              <w:i/>
              <w:color w:val="FFFFFF" w:themeColor="background1"/>
              <w:sz w:val="24"/>
              <w:szCs w:val="24"/>
              <w:lang w:val="en-GB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  <w:t>&amp;</w:t>
          </w:r>
          <w:r>
            <w:rPr>
              <w:rFonts w:ascii="Corbel" w:hAnsi="Corbel"/>
              <w:b/>
              <w:i/>
              <w:color w:val="FFFFFF" w:themeColor="background1"/>
              <w:sz w:val="24"/>
              <w:szCs w:val="24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  <w:t xml:space="preserve"> International Cooperation in Criminal Matters” (RP-TERR-ICCM)</w:t>
          </w:r>
        </w:p>
      </w:tc>
    </w:tr>
  </w:tbl>
  <w:p w14:paraId="232CA66A" w14:textId="77777777" w:rsidR="004F324B" w:rsidRDefault="004F32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DC0"/>
    <w:multiLevelType w:val="hybridMultilevel"/>
    <w:tmpl w:val="27182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1DB"/>
    <w:multiLevelType w:val="hybridMultilevel"/>
    <w:tmpl w:val="CB204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03DDD"/>
    <w:multiLevelType w:val="hybridMultilevel"/>
    <w:tmpl w:val="13B0A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0409"/>
    <w:multiLevelType w:val="hybridMultilevel"/>
    <w:tmpl w:val="04F47184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2048"/>
    <w:multiLevelType w:val="hybridMultilevel"/>
    <w:tmpl w:val="339E9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04E4"/>
    <w:multiLevelType w:val="hybridMultilevel"/>
    <w:tmpl w:val="AE6C1214"/>
    <w:lvl w:ilvl="0" w:tplc="11149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B0"/>
    <w:multiLevelType w:val="hybridMultilevel"/>
    <w:tmpl w:val="94286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92A"/>
    <w:multiLevelType w:val="hybridMultilevel"/>
    <w:tmpl w:val="254AE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118BF"/>
    <w:multiLevelType w:val="hybridMultilevel"/>
    <w:tmpl w:val="4A840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10443"/>
    <w:multiLevelType w:val="hybridMultilevel"/>
    <w:tmpl w:val="4CBAD7E2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AED"/>
    <w:multiLevelType w:val="hybridMultilevel"/>
    <w:tmpl w:val="AD88B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1439"/>
    <w:multiLevelType w:val="hybridMultilevel"/>
    <w:tmpl w:val="22B4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5626"/>
    <w:multiLevelType w:val="hybridMultilevel"/>
    <w:tmpl w:val="5B483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1E1C"/>
    <w:multiLevelType w:val="hybridMultilevel"/>
    <w:tmpl w:val="AEA465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65583"/>
    <w:multiLevelType w:val="hybridMultilevel"/>
    <w:tmpl w:val="8A648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D5864"/>
    <w:multiLevelType w:val="hybridMultilevel"/>
    <w:tmpl w:val="6EE27766"/>
    <w:lvl w:ilvl="0" w:tplc="7C6E2554">
      <w:start w:val="16"/>
      <w:numFmt w:val="bullet"/>
      <w:lvlText w:val="-"/>
      <w:lvlJc w:val="left"/>
      <w:pPr>
        <w:ind w:left="720" w:hanging="360"/>
      </w:pPr>
      <w:rPr>
        <w:rFonts w:ascii="Corbel" w:eastAsiaTheme="minorHAns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C2F8D"/>
    <w:multiLevelType w:val="hybridMultilevel"/>
    <w:tmpl w:val="3BDA7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6"/>
  </w:num>
  <w:num w:numId="14">
    <w:abstractNumId w:val="4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729"/>
    <w:rsid w:val="00001AB0"/>
    <w:rsid w:val="0001371A"/>
    <w:rsid w:val="00014977"/>
    <w:rsid w:val="00016280"/>
    <w:rsid w:val="00023361"/>
    <w:rsid w:val="00030224"/>
    <w:rsid w:val="00041E77"/>
    <w:rsid w:val="00042FF2"/>
    <w:rsid w:val="000444B7"/>
    <w:rsid w:val="0005032F"/>
    <w:rsid w:val="00051201"/>
    <w:rsid w:val="00060C2F"/>
    <w:rsid w:val="0006453D"/>
    <w:rsid w:val="00080129"/>
    <w:rsid w:val="00080993"/>
    <w:rsid w:val="00081CA3"/>
    <w:rsid w:val="00086EE4"/>
    <w:rsid w:val="000914D3"/>
    <w:rsid w:val="00091BD8"/>
    <w:rsid w:val="000940C0"/>
    <w:rsid w:val="000B2A5B"/>
    <w:rsid w:val="000D6759"/>
    <w:rsid w:val="000F5C53"/>
    <w:rsid w:val="00112D3D"/>
    <w:rsid w:val="00124210"/>
    <w:rsid w:val="00130458"/>
    <w:rsid w:val="001315AE"/>
    <w:rsid w:val="00152E5F"/>
    <w:rsid w:val="00163547"/>
    <w:rsid w:val="00172194"/>
    <w:rsid w:val="00176D77"/>
    <w:rsid w:val="00180F61"/>
    <w:rsid w:val="001866D1"/>
    <w:rsid w:val="0019642F"/>
    <w:rsid w:val="00196794"/>
    <w:rsid w:val="001A600A"/>
    <w:rsid w:val="001A7725"/>
    <w:rsid w:val="001B1794"/>
    <w:rsid w:val="001B4215"/>
    <w:rsid w:val="001B4E99"/>
    <w:rsid w:val="001B5D18"/>
    <w:rsid w:val="001C0FC5"/>
    <w:rsid w:val="001C2A7B"/>
    <w:rsid w:val="001C4BBA"/>
    <w:rsid w:val="001C60B1"/>
    <w:rsid w:val="001D29AE"/>
    <w:rsid w:val="001E6A12"/>
    <w:rsid w:val="001F0270"/>
    <w:rsid w:val="001F0AFC"/>
    <w:rsid w:val="001F4B39"/>
    <w:rsid w:val="0023127D"/>
    <w:rsid w:val="0025026B"/>
    <w:rsid w:val="002573A3"/>
    <w:rsid w:val="00265D7F"/>
    <w:rsid w:val="00271046"/>
    <w:rsid w:val="00271667"/>
    <w:rsid w:val="00284F38"/>
    <w:rsid w:val="002851EC"/>
    <w:rsid w:val="00291927"/>
    <w:rsid w:val="0029639E"/>
    <w:rsid w:val="002A0B4B"/>
    <w:rsid w:val="002A45FE"/>
    <w:rsid w:val="002A71EC"/>
    <w:rsid w:val="002B69F6"/>
    <w:rsid w:val="002E046C"/>
    <w:rsid w:val="002E3405"/>
    <w:rsid w:val="002F0F63"/>
    <w:rsid w:val="002F3DAF"/>
    <w:rsid w:val="002F7ECE"/>
    <w:rsid w:val="0030371C"/>
    <w:rsid w:val="0030633A"/>
    <w:rsid w:val="0033380F"/>
    <w:rsid w:val="00341C25"/>
    <w:rsid w:val="00344F21"/>
    <w:rsid w:val="00346E3E"/>
    <w:rsid w:val="00354348"/>
    <w:rsid w:val="003679B3"/>
    <w:rsid w:val="00377D6D"/>
    <w:rsid w:val="0038112F"/>
    <w:rsid w:val="00397C6F"/>
    <w:rsid w:val="003B6558"/>
    <w:rsid w:val="003C0EF0"/>
    <w:rsid w:val="003D242A"/>
    <w:rsid w:val="003E5B5E"/>
    <w:rsid w:val="003F41FC"/>
    <w:rsid w:val="0041260B"/>
    <w:rsid w:val="00452A39"/>
    <w:rsid w:val="0046583D"/>
    <w:rsid w:val="00473130"/>
    <w:rsid w:val="00483C7B"/>
    <w:rsid w:val="004A2D47"/>
    <w:rsid w:val="004A6DBF"/>
    <w:rsid w:val="004B14AD"/>
    <w:rsid w:val="004C00B0"/>
    <w:rsid w:val="004C07D1"/>
    <w:rsid w:val="004C4342"/>
    <w:rsid w:val="004D1D2A"/>
    <w:rsid w:val="004F324B"/>
    <w:rsid w:val="004F376B"/>
    <w:rsid w:val="005034EB"/>
    <w:rsid w:val="00505D22"/>
    <w:rsid w:val="00522270"/>
    <w:rsid w:val="005435E6"/>
    <w:rsid w:val="00543B10"/>
    <w:rsid w:val="00553B19"/>
    <w:rsid w:val="0055669D"/>
    <w:rsid w:val="005602D1"/>
    <w:rsid w:val="00560345"/>
    <w:rsid w:val="00575A44"/>
    <w:rsid w:val="00575ECA"/>
    <w:rsid w:val="00577CC9"/>
    <w:rsid w:val="00593CDB"/>
    <w:rsid w:val="00596CB9"/>
    <w:rsid w:val="005A2B08"/>
    <w:rsid w:val="005A331B"/>
    <w:rsid w:val="005A5770"/>
    <w:rsid w:val="005B4E28"/>
    <w:rsid w:val="005D0495"/>
    <w:rsid w:val="006124CF"/>
    <w:rsid w:val="00630253"/>
    <w:rsid w:val="00641648"/>
    <w:rsid w:val="00642864"/>
    <w:rsid w:val="00645D6F"/>
    <w:rsid w:val="00652B9C"/>
    <w:rsid w:val="0065623C"/>
    <w:rsid w:val="006574D5"/>
    <w:rsid w:val="00661830"/>
    <w:rsid w:val="0067069B"/>
    <w:rsid w:val="00675BB5"/>
    <w:rsid w:val="00682623"/>
    <w:rsid w:val="00695A18"/>
    <w:rsid w:val="006B16E8"/>
    <w:rsid w:val="006B17E8"/>
    <w:rsid w:val="006C5287"/>
    <w:rsid w:val="006E06BE"/>
    <w:rsid w:val="006E0DBE"/>
    <w:rsid w:val="00712847"/>
    <w:rsid w:val="00716666"/>
    <w:rsid w:val="00716E31"/>
    <w:rsid w:val="007171B0"/>
    <w:rsid w:val="0073234B"/>
    <w:rsid w:val="0073313D"/>
    <w:rsid w:val="00743F70"/>
    <w:rsid w:val="0074474B"/>
    <w:rsid w:val="00753D25"/>
    <w:rsid w:val="00762710"/>
    <w:rsid w:val="00763FAD"/>
    <w:rsid w:val="00777691"/>
    <w:rsid w:val="00784BE5"/>
    <w:rsid w:val="00784C4F"/>
    <w:rsid w:val="0079722B"/>
    <w:rsid w:val="007A4B08"/>
    <w:rsid w:val="007B04B4"/>
    <w:rsid w:val="007B6861"/>
    <w:rsid w:val="007B6C04"/>
    <w:rsid w:val="007C5C87"/>
    <w:rsid w:val="007D0DB6"/>
    <w:rsid w:val="007D12DB"/>
    <w:rsid w:val="007D2CD3"/>
    <w:rsid w:val="007E2959"/>
    <w:rsid w:val="007E4996"/>
    <w:rsid w:val="007E4A5F"/>
    <w:rsid w:val="007E7201"/>
    <w:rsid w:val="007F12F4"/>
    <w:rsid w:val="007F55D9"/>
    <w:rsid w:val="007F7F69"/>
    <w:rsid w:val="00805427"/>
    <w:rsid w:val="008077ED"/>
    <w:rsid w:val="0081753C"/>
    <w:rsid w:val="00817B8D"/>
    <w:rsid w:val="00850729"/>
    <w:rsid w:val="008569B9"/>
    <w:rsid w:val="00860930"/>
    <w:rsid w:val="00861FAF"/>
    <w:rsid w:val="0086559E"/>
    <w:rsid w:val="008778BD"/>
    <w:rsid w:val="00880FB3"/>
    <w:rsid w:val="00887676"/>
    <w:rsid w:val="00892046"/>
    <w:rsid w:val="008969E3"/>
    <w:rsid w:val="008A7617"/>
    <w:rsid w:val="008B4A7C"/>
    <w:rsid w:val="008D0859"/>
    <w:rsid w:val="008D2573"/>
    <w:rsid w:val="008D5C88"/>
    <w:rsid w:val="008D7C63"/>
    <w:rsid w:val="008E4FC2"/>
    <w:rsid w:val="00914CD8"/>
    <w:rsid w:val="00916EE7"/>
    <w:rsid w:val="00925D0E"/>
    <w:rsid w:val="00927F63"/>
    <w:rsid w:val="00946F84"/>
    <w:rsid w:val="00951AC8"/>
    <w:rsid w:val="00952215"/>
    <w:rsid w:val="009547DA"/>
    <w:rsid w:val="009556EF"/>
    <w:rsid w:val="00960EC3"/>
    <w:rsid w:val="00962604"/>
    <w:rsid w:val="009916AD"/>
    <w:rsid w:val="0099364A"/>
    <w:rsid w:val="00993B25"/>
    <w:rsid w:val="009B4947"/>
    <w:rsid w:val="009C06C4"/>
    <w:rsid w:val="009E1DEB"/>
    <w:rsid w:val="009E2B3B"/>
    <w:rsid w:val="009F26DA"/>
    <w:rsid w:val="00A026B4"/>
    <w:rsid w:val="00A1178B"/>
    <w:rsid w:val="00A13537"/>
    <w:rsid w:val="00A16AED"/>
    <w:rsid w:val="00A266F5"/>
    <w:rsid w:val="00A30347"/>
    <w:rsid w:val="00A501D7"/>
    <w:rsid w:val="00A51AC1"/>
    <w:rsid w:val="00A60055"/>
    <w:rsid w:val="00A6027C"/>
    <w:rsid w:val="00A659DA"/>
    <w:rsid w:val="00A86C9C"/>
    <w:rsid w:val="00A91306"/>
    <w:rsid w:val="00A93F52"/>
    <w:rsid w:val="00AA7F76"/>
    <w:rsid w:val="00AB64B5"/>
    <w:rsid w:val="00AC7D81"/>
    <w:rsid w:val="00AD41C1"/>
    <w:rsid w:val="00B011C3"/>
    <w:rsid w:val="00B01392"/>
    <w:rsid w:val="00B07751"/>
    <w:rsid w:val="00B2673D"/>
    <w:rsid w:val="00B275CE"/>
    <w:rsid w:val="00B36F9B"/>
    <w:rsid w:val="00B50457"/>
    <w:rsid w:val="00B50F10"/>
    <w:rsid w:val="00B57D44"/>
    <w:rsid w:val="00B65DDA"/>
    <w:rsid w:val="00B67EDD"/>
    <w:rsid w:val="00B74CAE"/>
    <w:rsid w:val="00B97D79"/>
    <w:rsid w:val="00BB1F81"/>
    <w:rsid w:val="00BD092F"/>
    <w:rsid w:val="00BE30BD"/>
    <w:rsid w:val="00BF73C8"/>
    <w:rsid w:val="00C01B07"/>
    <w:rsid w:val="00C17880"/>
    <w:rsid w:val="00C33446"/>
    <w:rsid w:val="00C60366"/>
    <w:rsid w:val="00C61849"/>
    <w:rsid w:val="00C620C0"/>
    <w:rsid w:val="00C673CB"/>
    <w:rsid w:val="00C960CA"/>
    <w:rsid w:val="00CA4E47"/>
    <w:rsid w:val="00CB321B"/>
    <w:rsid w:val="00CB44BE"/>
    <w:rsid w:val="00CD1D8A"/>
    <w:rsid w:val="00CE7151"/>
    <w:rsid w:val="00CF7C41"/>
    <w:rsid w:val="00D00D47"/>
    <w:rsid w:val="00D13359"/>
    <w:rsid w:val="00D151F0"/>
    <w:rsid w:val="00D16A76"/>
    <w:rsid w:val="00D17261"/>
    <w:rsid w:val="00D21A54"/>
    <w:rsid w:val="00D22B49"/>
    <w:rsid w:val="00D31EEB"/>
    <w:rsid w:val="00D341D0"/>
    <w:rsid w:val="00D36DE5"/>
    <w:rsid w:val="00D374FA"/>
    <w:rsid w:val="00D448B5"/>
    <w:rsid w:val="00D7424E"/>
    <w:rsid w:val="00D8608E"/>
    <w:rsid w:val="00D87131"/>
    <w:rsid w:val="00D93CEA"/>
    <w:rsid w:val="00D95656"/>
    <w:rsid w:val="00DB04EA"/>
    <w:rsid w:val="00DB4476"/>
    <w:rsid w:val="00DC52C1"/>
    <w:rsid w:val="00DE2574"/>
    <w:rsid w:val="00DE3008"/>
    <w:rsid w:val="00DE386B"/>
    <w:rsid w:val="00DE7090"/>
    <w:rsid w:val="00DE7B5D"/>
    <w:rsid w:val="00E061C4"/>
    <w:rsid w:val="00E07669"/>
    <w:rsid w:val="00E07A86"/>
    <w:rsid w:val="00E11825"/>
    <w:rsid w:val="00E12E4B"/>
    <w:rsid w:val="00E513D8"/>
    <w:rsid w:val="00E51E1D"/>
    <w:rsid w:val="00E55EA5"/>
    <w:rsid w:val="00E6368E"/>
    <w:rsid w:val="00E726CF"/>
    <w:rsid w:val="00E75A45"/>
    <w:rsid w:val="00E77558"/>
    <w:rsid w:val="00E840FD"/>
    <w:rsid w:val="00EA108B"/>
    <w:rsid w:val="00EA3EEE"/>
    <w:rsid w:val="00EA4F0E"/>
    <w:rsid w:val="00EB2967"/>
    <w:rsid w:val="00EC5935"/>
    <w:rsid w:val="00EE0408"/>
    <w:rsid w:val="00F00175"/>
    <w:rsid w:val="00F00CEF"/>
    <w:rsid w:val="00F017F1"/>
    <w:rsid w:val="00F02B8A"/>
    <w:rsid w:val="00F04A35"/>
    <w:rsid w:val="00F10B6B"/>
    <w:rsid w:val="00F12F4B"/>
    <w:rsid w:val="00F27DA1"/>
    <w:rsid w:val="00F32802"/>
    <w:rsid w:val="00F33A6A"/>
    <w:rsid w:val="00F35512"/>
    <w:rsid w:val="00F43AC3"/>
    <w:rsid w:val="00F56E66"/>
    <w:rsid w:val="00F66FD9"/>
    <w:rsid w:val="00F75D64"/>
    <w:rsid w:val="00F80390"/>
    <w:rsid w:val="00F87E7E"/>
    <w:rsid w:val="00F91ADD"/>
    <w:rsid w:val="00F94B20"/>
    <w:rsid w:val="00FA3C5E"/>
    <w:rsid w:val="00FB5468"/>
    <w:rsid w:val="00FE1884"/>
    <w:rsid w:val="00FF1A50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E59F66"/>
  <w15:docId w15:val="{FBF063C3-FB5A-4887-93B8-C003F97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AFC"/>
  </w:style>
  <w:style w:type="paragraph" w:styleId="Nadpis3">
    <w:name w:val="heading 3"/>
    <w:basedOn w:val="Normln"/>
    <w:next w:val="Normln"/>
    <w:link w:val="Nadpis3Char"/>
    <w:rsid w:val="003B655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29"/>
  </w:style>
  <w:style w:type="paragraph" w:styleId="Zpat">
    <w:name w:val="footer"/>
    <w:basedOn w:val="Normln"/>
    <w:link w:val="ZpatChar"/>
    <w:uiPriority w:val="99"/>
    <w:unhideWhenUsed/>
    <w:rsid w:val="0085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29"/>
  </w:style>
  <w:style w:type="paragraph" w:styleId="Textbubliny">
    <w:name w:val="Balloon Text"/>
    <w:basedOn w:val="Normln"/>
    <w:link w:val="TextbublinyChar"/>
    <w:uiPriority w:val="99"/>
    <w:semiHidden/>
    <w:unhideWhenUsed/>
    <w:rsid w:val="0085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7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507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4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4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4EB"/>
    <w:rPr>
      <w:sz w:val="20"/>
      <w:szCs w:val="20"/>
      <w:lang w:val="es"/>
    </w:rPr>
  </w:style>
  <w:style w:type="character" w:styleId="Znakapoznpodarou">
    <w:name w:val="footnote reference"/>
    <w:basedOn w:val="Standardnpsmoodstavce"/>
    <w:uiPriority w:val="99"/>
    <w:semiHidden/>
    <w:unhideWhenUsed/>
    <w:rsid w:val="005034E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034E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E7090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DE7090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D7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34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A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4xlpa">
    <w:name w:val="_04xlpa"/>
    <w:basedOn w:val="Normln"/>
    <w:rsid w:val="00A1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odyA">
    <w:name w:val="Body A"/>
    <w:rsid w:val="004F32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fr-FR" w:eastAsia="zh-CN"/>
    </w:rPr>
  </w:style>
  <w:style w:type="character" w:customStyle="1" w:styleId="Nadpis3Char">
    <w:name w:val="Nadpis 3 Char"/>
    <w:basedOn w:val="Standardnpsmoodstavce"/>
    <w:link w:val="Nadpis3"/>
    <w:rsid w:val="003B6558"/>
    <w:rPr>
      <w:rFonts w:ascii="Calibri" w:eastAsia="Calibri" w:hAnsi="Calibri" w:cs="Calibri"/>
      <w:b/>
      <w:color w:val="000000"/>
      <w:sz w:val="28"/>
      <w:szCs w:val="28"/>
      <w:lang w:val="fr-FR"/>
    </w:rPr>
  </w:style>
  <w:style w:type="character" w:customStyle="1" w:styleId="jsgrdq">
    <w:name w:val="jsgrdq"/>
    <w:basedOn w:val="Standardnpsmoodstavce"/>
    <w:rsid w:val="00CA4E47"/>
  </w:style>
  <w:style w:type="paragraph" w:customStyle="1" w:styleId="xmsonormal">
    <w:name w:val="x_msonormal"/>
    <w:basedOn w:val="Normln"/>
    <w:rsid w:val="0096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583D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46583D"/>
  </w:style>
  <w:style w:type="character" w:styleId="Siln">
    <w:name w:val="Strong"/>
    <w:basedOn w:val="Standardnpsmoodstavce"/>
    <w:uiPriority w:val="22"/>
    <w:qFormat/>
    <w:rsid w:val="003C0EF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9565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ep-probation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elearning.ext.coe.in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502425-7F89-4DCA-B2A5-CFAB4024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819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Zahájení kurzu Rady Evropy HELP Mezinárodní spolupráce v trestních věcech</vt:lpstr>
      <vt:lpstr>Seminario / Lanzamiento del curso HELP del Consejo de Europa sobre Prevención de la Radicalización</vt:lpstr>
    </vt:vector>
  </TitlesOfParts>
  <Company>Council of Europe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Zahájení kurzu Rady Evropy HELP Mezinárodní spolupráce v trestních věcech</dc:title>
  <dc:creator>TELBIS Anna-Maria</dc:creator>
  <cp:lastModifiedBy>Mgr. Lenka Vojířová</cp:lastModifiedBy>
  <cp:revision>18</cp:revision>
  <cp:lastPrinted>2021-10-11T09:58:00Z</cp:lastPrinted>
  <dcterms:created xsi:type="dcterms:W3CDTF">2022-03-01T12:16:00Z</dcterms:created>
  <dcterms:modified xsi:type="dcterms:W3CDTF">2022-03-07T13:22:00Z</dcterms:modified>
</cp:coreProperties>
</file>