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15" w:rsidRPr="00B64AB0" w:rsidRDefault="00F57315" w:rsidP="00F57315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bookmarkStart w:id="0" w:name="_GoBack"/>
      <w:bookmarkEnd w:id="0"/>
      <w:r w:rsidRPr="00B64AB0">
        <w:rPr>
          <w:rFonts w:ascii="Arial" w:hAnsi="Arial" w:cs="Arial"/>
          <w:b/>
          <w:sz w:val="24"/>
          <w:szCs w:val="24"/>
          <w:lang w:val="cs-CZ"/>
        </w:rPr>
        <w:t>Aktuální vybrané informace z dě</w:t>
      </w:r>
      <w:r>
        <w:rPr>
          <w:rFonts w:ascii="Arial" w:hAnsi="Arial" w:cs="Arial"/>
          <w:b/>
          <w:sz w:val="24"/>
          <w:szCs w:val="24"/>
          <w:lang w:val="cs-CZ"/>
        </w:rPr>
        <w:t>ní na poli Evropské unie (</w:t>
      </w:r>
      <w:r w:rsidR="006236B7">
        <w:rPr>
          <w:rFonts w:ascii="Arial" w:hAnsi="Arial" w:cs="Arial"/>
          <w:b/>
          <w:sz w:val="24"/>
          <w:szCs w:val="24"/>
          <w:lang w:val="cs-CZ"/>
        </w:rPr>
        <w:t>leden-únor 2014</w:t>
      </w:r>
      <w:r w:rsidRPr="00B64AB0">
        <w:rPr>
          <w:rFonts w:ascii="Arial" w:hAnsi="Arial" w:cs="Arial"/>
          <w:b/>
          <w:sz w:val="24"/>
          <w:szCs w:val="24"/>
          <w:lang w:val="cs-CZ"/>
        </w:rPr>
        <w:t>)</w:t>
      </w:r>
    </w:p>
    <w:p w:rsidR="00F57315" w:rsidRDefault="00F57315" w:rsidP="00F5731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4A1800" w:rsidRPr="00B64AB0" w:rsidRDefault="004A1800" w:rsidP="00F57315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14647E" w:rsidRPr="00291930" w:rsidRDefault="0014647E" w:rsidP="0014647E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Nové předsednictví Řecka</w:t>
      </w:r>
    </w:p>
    <w:p w:rsidR="0014647E" w:rsidRPr="00291930" w:rsidRDefault="0014647E" w:rsidP="0014647E">
      <w:pPr>
        <w:pStyle w:val="Prosttext"/>
        <w:rPr>
          <w:rFonts w:ascii="Arial" w:hAnsi="Arial" w:cs="Arial"/>
          <w:sz w:val="24"/>
          <w:szCs w:val="24"/>
        </w:rPr>
      </w:pPr>
    </w:p>
    <w:p w:rsidR="005D6DBE" w:rsidRDefault="005D6DBE" w:rsidP="005D6DBE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56115E">
        <w:rPr>
          <w:rFonts w:ascii="Arial" w:hAnsi="Arial" w:cs="Arial"/>
          <w:sz w:val="24"/>
          <w:szCs w:val="24"/>
        </w:rPr>
        <w:t xml:space="preserve">Dne 1. ledna 2014 se ujalo předsednictví v Radě EU Řecko. Řecké předsednictví představilo své priority, kterými jsou podpora růstu a zaměstnanosti, dokončení tzv. bankovní unie, azylová a migrační politika a prosazování sociální soudržnosti. </w:t>
      </w:r>
    </w:p>
    <w:p w:rsidR="0014647E" w:rsidRDefault="0014647E" w:rsidP="00F57315">
      <w:pPr>
        <w:pStyle w:val="Prosttext"/>
        <w:rPr>
          <w:rFonts w:ascii="Arial" w:hAnsi="Arial" w:cs="Arial"/>
          <w:b/>
          <w:sz w:val="24"/>
          <w:szCs w:val="24"/>
        </w:rPr>
      </w:pPr>
    </w:p>
    <w:p w:rsidR="0014647E" w:rsidRDefault="0014647E" w:rsidP="00F57315">
      <w:pPr>
        <w:pStyle w:val="Prosttext"/>
        <w:rPr>
          <w:rFonts w:ascii="Arial" w:hAnsi="Arial" w:cs="Arial"/>
          <w:b/>
          <w:sz w:val="24"/>
          <w:szCs w:val="24"/>
        </w:rPr>
      </w:pPr>
    </w:p>
    <w:p w:rsidR="00F57315" w:rsidRPr="00291930" w:rsidRDefault="00BE4732" w:rsidP="00F57315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Stanovisko k evropskému veřejnému žalobci</w:t>
      </w:r>
    </w:p>
    <w:p w:rsidR="00F57315" w:rsidRPr="00291930" w:rsidRDefault="00F57315" w:rsidP="00F57315">
      <w:pPr>
        <w:pStyle w:val="Prosttext"/>
        <w:rPr>
          <w:rFonts w:ascii="Arial" w:hAnsi="Arial" w:cs="Arial"/>
          <w:sz w:val="24"/>
          <w:szCs w:val="24"/>
        </w:rPr>
      </w:pPr>
    </w:p>
    <w:p w:rsidR="004A1800" w:rsidRDefault="00A76EC0" w:rsidP="00F57315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56115E">
        <w:rPr>
          <w:rFonts w:ascii="Arial" w:hAnsi="Arial" w:cs="Arial"/>
          <w:sz w:val="24"/>
          <w:szCs w:val="24"/>
        </w:rPr>
        <w:t>N</w:t>
      </w:r>
      <w:r w:rsidR="00BE4732" w:rsidRPr="0056115E">
        <w:rPr>
          <w:rFonts w:ascii="Arial" w:hAnsi="Arial" w:cs="Arial"/>
          <w:sz w:val="24"/>
          <w:szCs w:val="24"/>
        </w:rPr>
        <w:t>ěmecké sdružení advokátů Deutscher AnwaltsVerein (DAV)</w:t>
      </w:r>
      <w:r w:rsidRPr="0056115E">
        <w:rPr>
          <w:rFonts w:ascii="Arial" w:hAnsi="Arial" w:cs="Arial"/>
          <w:sz w:val="24"/>
          <w:szCs w:val="24"/>
        </w:rPr>
        <w:t xml:space="preserve"> vypracovalo</w:t>
      </w:r>
      <w:r w:rsidR="00BE4732" w:rsidRPr="0056115E">
        <w:rPr>
          <w:rFonts w:ascii="Arial" w:hAnsi="Arial" w:cs="Arial"/>
          <w:sz w:val="24"/>
          <w:szCs w:val="24"/>
        </w:rPr>
        <w:t xml:space="preserve"> stanovisko </w:t>
      </w:r>
      <w:r w:rsidRPr="0056115E">
        <w:rPr>
          <w:rFonts w:ascii="Arial" w:hAnsi="Arial" w:cs="Arial"/>
          <w:sz w:val="24"/>
          <w:szCs w:val="24"/>
        </w:rPr>
        <w:t>k revizi evropského řízení o drobných nárocích, ve kterém se zamítavě vyjadřuje k příslušným návrhům, především pak zvýšení limitu z 2000 na 10000 eur.</w:t>
      </w:r>
      <w:r>
        <w:rPr>
          <w:rFonts w:ascii="Arial" w:hAnsi="Arial" w:cs="Arial"/>
          <w:sz w:val="24"/>
          <w:szCs w:val="24"/>
        </w:rPr>
        <w:t xml:space="preserve"> </w:t>
      </w:r>
      <w:r w:rsidR="003474DA" w:rsidRPr="00291930">
        <w:rPr>
          <w:rFonts w:ascii="Arial" w:hAnsi="Arial" w:cs="Arial"/>
          <w:sz w:val="24"/>
          <w:szCs w:val="24"/>
        </w:rPr>
        <w:t xml:space="preserve">Materiál je dostupný </w:t>
      </w:r>
      <w:r w:rsidR="003474DA"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/>
          <w:sz w:val="24"/>
          <w:szCs w:val="24"/>
        </w:rPr>
        <w:t>německém</w:t>
      </w:r>
      <w:r w:rsidR="003474DA">
        <w:rPr>
          <w:rFonts w:ascii="Arial" w:hAnsi="Arial" w:cs="Arial"/>
          <w:sz w:val="24"/>
          <w:szCs w:val="24"/>
        </w:rPr>
        <w:t xml:space="preserve"> jazyce </w:t>
      </w:r>
      <w:r w:rsidR="003474DA" w:rsidRPr="00291930">
        <w:rPr>
          <w:rFonts w:ascii="Arial" w:hAnsi="Arial" w:cs="Arial"/>
          <w:sz w:val="24"/>
          <w:szCs w:val="24"/>
        </w:rPr>
        <w:t>na internetových stránkách:</w:t>
      </w:r>
    </w:p>
    <w:p w:rsidR="00A76EC0" w:rsidRDefault="000E78AC" w:rsidP="00F57315">
      <w:pPr>
        <w:pStyle w:val="Prosttext"/>
        <w:jc w:val="both"/>
        <w:rPr>
          <w:rFonts w:ascii="Arial" w:hAnsi="Arial" w:cs="Arial"/>
          <w:sz w:val="24"/>
          <w:szCs w:val="24"/>
        </w:rPr>
      </w:pPr>
      <w:hyperlink r:id="rId6" w:history="1">
        <w:r w:rsidR="00A76EC0" w:rsidRPr="000D34A9">
          <w:rPr>
            <w:rStyle w:val="Hypertextovodkaz"/>
            <w:rFonts w:ascii="Arial" w:hAnsi="Arial" w:cs="Arial"/>
            <w:sz w:val="24"/>
            <w:szCs w:val="24"/>
          </w:rPr>
          <w:t>http://anwaltverein.de/downloads/DAV-SN6-14.pdf</w:t>
        </w:r>
      </w:hyperlink>
      <w:r w:rsidR="00A76EC0">
        <w:rPr>
          <w:rFonts w:ascii="Arial" w:hAnsi="Arial" w:cs="Arial"/>
          <w:sz w:val="24"/>
          <w:szCs w:val="24"/>
        </w:rPr>
        <w:t xml:space="preserve"> </w:t>
      </w:r>
    </w:p>
    <w:p w:rsidR="00346EAB" w:rsidRDefault="00346EAB" w:rsidP="00F57315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AE1DC3" w:rsidRDefault="00AE1DC3" w:rsidP="00AE1DC3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AE1DC3" w:rsidRDefault="00AE1DC3" w:rsidP="00AE1DC3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Strategie v oblasti Evropské e-justice na období 2014-2018</w:t>
      </w:r>
    </w:p>
    <w:p w:rsidR="00AE1DC3" w:rsidRPr="00862134" w:rsidRDefault="00AE1DC3" w:rsidP="00862134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862134" w:rsidRDefault="00862134" w:rsidP="00862134">
      <w:pPr>
        <w:pStyle w:val="Default"/>
        <w:jc w:val="both"/>
        <w:rPr>
          <w:rFonts w:ascii="Arial" w:hAnsi="Arial" w:cs="Arial"/>
        </w:rPr>
      </w:pPr>
      <w:r w:rsidRPr="00862134">
        <w:rPr>
          <w:rFonts w:ascii="Arial" w:hAnsi="Arial" w:cs="Arial"/>
          <w:color w:val="auto"/>
        </w:rPr>
        <w:t>Rada v listopadu roku 2008 přijala akční plán v oblasti evropské e-justice na období 2009–2013. Ten stanovil víceletý pracovní program v oblasti evropské e-justice a zavedl strukturu pro koordinaci úsilí v oblasti e-justice na úrovni EU. Platnost akčního plánu vypr</w:t>
      </w:r>
      <w:r>
        <w:rPr>
          <w:rFonts w:ascii="Arial" w:hAnsi="Arial" w:cs="Arial"/>
          <w:color w:val="auto"/>
        </w:rPr>
        <w:t>šela</w:t>
      </w:r>
      <w:r w:rsidRPr="00862134">
        <w:rPr>
          <w:rFonts w:ascii="Arial" w:hAnsi="Arial" w:cs="Arial"/>
          <w:color w:val="auto"/>
        </w:rPr>
        <w:t xml:space="preserve"> na konci roku 2013</w:t>
      </w:r>
      <w:r>
        <w:rPr>
          <w:rFonts w:ascii="Arial" w:hAnsi="Arial" w:cs="Arial"/>
          <w:color w:val="auto"/>
        </w:rPr>
        <w:t>.</w:t>
      </w:r>
      <w:r w:rsidRPr="0086213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</w:t>
      </w:r>
      <w:r w:rsidRPr="00862134">
        <w:rPr>
          <w:rFonts w:ascii="Arial" w:hAnsi="Arial" w:cs="Arial"/>
        </w:rPr>
        <w:t xml:space="preserve"> první polovině roku 2014 za řeckého předsednictví </w:t>
      </w:r>
      <w:r>
        <w:rPr>
          <w:rFonts w:ascii="Arial" w:hAnsi="Arial" w:cs="Arial"/>
        </w:rPr>
        <w:t xml:space="preserve">bude </w:t>
      </w:r>
      <w:r w:rsidRPr="00862134">
        <w:rPr>
          <w:rFonts w:ascii="Arial" w:hAnsi="Arial" w:cs="Arial"/>
        </w:rPr>
        <w:t>připraven samostatný akční plán, v němž bude stanoven zvláštní plán činnosti s konkrétními projekty.</w:t>
      </w:r>
    </w:p>
    <w:p w:rsidR="00862134" w:rsidRDefault="00862134" w:rsidP="00862134">
      <w:pPr>
        <w:pStyle w:val="Default"/>
        <w:jc w:val="both"/>
        <w:rPr>
          <w:rFonts w:ascii="Arial" w:hAnsi="Arial" w:cs="Arial"/>
        </w:rPr>
      </w:pPr>
    </w:p>
    <w:p w:rsidR="00044133" w:rsidRDefault="00044133" w:rsidP="00862134">
      <w:pPr>
        <w:pStyle w:val="Default"/>
        <w:jc w:val="both"/>
        <w:rPr>
          <w:rFonts w:ascii="Arial" w:hAnsi="Arial" w:cs="Arial"/>
        </w:rPr>
      </w:pPr>
    </w:p>
    <w:p w:rsidR="00044133" w:rsidRDefault="00044133" w:rsidP="00044133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8765B8">
        <w:rPr>
          <w:rFonts w:ascii="Arial" w:hAnsi="Arial" w:cs="Arial"/>
          <w:b/>
          <w:sz w:val="24"/>
          <w:szCs w:val="24"/>
        </w:rPr>
        <w:t>Srovnávací přehled EU o soudnictví</w:t>
      </w:r>
    </w:p>
    <w:p w:rsidR="00044133" w:rsidRPr="008765B8" w:rsidRDefault="00044133" w:rsidP="00044133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044133" w:rsidRPr="008765B8" w:rsidRDefault="00044133" w:rsidP="00044133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765B8">
        <w:rPr>
          <w:rFonts w:ascii="Arial" w:hAnsi="Arial" w:cs="Arial"/>
          <w:sz w:val="24"/>
          <w:szCs w:val="24"/>
        </w:rPr>
        <w:t xml:space="preserve">ne 4. ledna 2014 </w:t>
      </w:r>
      <w:r>
        <w:rPr>
          <w:rFonts w:ascii="Arial" w:hAnsi="Arial" w:cs="Arial"/>
          <w:sz w:val="24"/>
          <w:szCs w:val="24"/>
        </w:rPr>
        <w:t xml:space="preserve">vydal Evropský parlament usnesení </w:t>
      </w:r>
      <w:r w:rsidRPr="008765B8">
        <w:rPr>
          <w:rFonts w:ascii="Arial" w:hAnsi="Arial" w:cs="Arial"/>
          <w:sz w:val="24"/>
          <w:szCs w:val="24"/>
        </w:rPr>
        <w:t>o srovnávacím přehledu EU o soudnictví – civilním a správním soudnictví v členských státech</w:t>
      </w:r>
      <w:r>
        <w:rPr>
          <w:rFonts w:ascii="Arial" w:hAnsi="Arial" w:cs="Arial"/>
          <w:sz w:val="24"/>
          <w:szCs w:val="24"/>
        </w:rPr>
        <w:t>. Usnesení je dostupné na internetových stránkách:</w:t>
      </w:r>
    </w:p>
    <w:p w:rsidR="00044133" w:rsidRPr="008765B8" w:rsidRDefault="000E78AC" w:rsidP="00044133">
      <w:pPr>
        <w:pStyle w:val="Prosttext"/>
        <w:rPr>
          <w:rFonts w:ascii="Arial" w:hAnsi="Arial" w:cs="Arial"/>
          <w:sz w:val="24"/>
          <w:szCs w:val="24"/>
        </w:rPr>
      </w:pPr>
      <w:hyperlink r:id="rId7" w:history="1">
        <w:r w:rsidR="00044133" w:rsidRPr="008765B8">
          <w:rPr>
            <w:rStyle w:val="Hypertextovodkaz"/>
            <w:rFonts w:ascii="Arial" w:hAnsi="Arial" w:cs="Arial"/>
            <w:sz w:val="24"/>
            <w:szCs w:val="24"/>
          </w:rPr>
          <w:t>http://www.europarl.europa.eu/sides/getDoc.do?pubRef=-//EP//TEXT+TA+P7-TA-2014-0064+0+DOC+XML+V0//CS</w:t>
        </w:r>
      </w:hyperlink>
      <w:r w:rsidR="00044133" w:rsidRPr="008765B8">
        <w:rPr>
          <w:rFonts w:ascii="Arial" w:hAnsi="Arial" w:cs="Arial"/>
          <w:sz w:val="24"/>
          <w:szCs w:val="24"/>
        </w:rPr>
        <w:t xml:space="preserve"> </w:t>
      </w:r>
    </w:p>
    <w:p w:rsidR="00044133" w:rsidRDefault="00044133" w:rsidP="00862134">
      <w:pPr>
        <w:pStyle w:val="Default"/>
        <w:jc w:val="both"/>
        <w:rPr>
          <w:rFonts w:ascii="Arial" w:hAnsi="Arial" w:cs="Arial"/>
        </w:rPr>
      </w:pPr>
    </w:p>
    <w:p w:rsidR="00044133" w:rsidRDefault="00044133" w:rsidP="00862134">
      <w:pPr>
        <w:pStyle w:val="Default"/>
        <w:jc w:val="both"/>
        <w:rPr>
          <w:rFonts w:ascii="Arial" w:hAnsi="Arial" w:cs="Arial"/>
        </w:rPr>
      </w:pPr>
    </w:p>
    <w:p w:rsidR="00044133" w:rsidRDefault="00044133" w:rsidP="00044133">
      <w:pPr>
        <w:pStyle w:val="Prosttext"/>
        <w:rPr>
          <w:rFonts w:ascii="Arial" w:hAnsi="Arial" w:cs="Arial"/>
          <w:b/>
          <w:sz w:val="24"/>
          <w:szCs w:val="24"/>
        </w:rPr>
      </w:pPr>
      <w:r w:rsidRPr="00B366C5">
        <w:rPr>
          <w:rFonts w:ascii="Arial" w:hAnsi="Arial" w:cs="Arial"/>
          <w:b/>
          <w:sz w:val="24"/>
          <w:szCs w:val="24"/>
        </w:rPr>
        <w:t>Směrnice o uznávání odborných kvalifikací</w:t>
      </w:r>
    </w:p>
    <w:p w:rsidR="00044133" w:rsidRPr="00B366C5" w:rsidRDefault="00044133" w:rsidP="00044133">
      <w:pPr>
        <w:pStyle w:val="Prosttext"/>
        <w:rPr>
          <w:rFonts w:ascii="Arial" w:hAnsi="Arial" w:cs="Arial"/>
          <w:b/>
          <w:sz w:val="24"/>
          <w:szCs w:val="24"/>
        </w:rPr>
      </w:pPr>
    </w:p>
    <w:p w:rsidR="00044133" w:rsidRPr="00B366C5" w:rsidRDefault="00044133" w:rsidP="00044133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B366C5">
        <w:rPr>
          <w:rFonts w:ascii="Arial" w:hAnsi="Arial" w:cs="Arial"/>
          <w:sz w:val="24"/>
          <w:szCs w:val="24"/>
        </w:rPr>
        <w:t xml:space="preserve">Dne 17. ledna 2014 vstoupila v platnost nová směrnice 2013/55/EU, která reviduje směrnici 2005/36/ES, o uznávání odborných kvalifikací. Novela má za cíl reformovat systém uznávání odborných kvalifikací, </w:t>
      </w:r>
      <w:r>
        <w:rPr>
          <w:rFonts w:ascii="Arial" w:hAnsi="Arial" w:cs="Arial"/>
          <w:sz w:val="24"/>
          <w:szCs w:val="24"/>
        </w:rPr>
        <w:t>což</w:t>
      </w:r>
      <w:r w:rsidRPr="00B366C5">
        <w:rPr>
          <w:rFonts w:ascii="Arial" w:hAnsi="Arial" w:cs="Arial"/>
          <w:sz w:val="24"/>
          <w:szCs w:val="24"/>
        </w:rPr>
        <w:t xml:space="preserve"> by mě</w:t>
      </w:r>
      <w:r>
        <w:rPr>
          <w:rFonts w:ascii="Arial" w:hAnsi="Arial" w:cs="Arial"/>
          <w:sz w:val="24"/>
          <w:szCs w:val="24"/>
        </w:rPr>
        <w:t>lo</w:t>
      </w:r>
      <w:r w:rsidRPr="00B366C5">
        <w:rPr>
          <w:rFonts w:ascii="Arial" w:hAnsi="Arial" w:cs="Arial"/>
          <w:sz w:val="24"/>
          <w:szCs w:val="24"/>
        </w:rPr>
        <w:t xml:space="preserve"> vést </w:t>
      </w:r>
      <w:r>
        <w:rPr>
          <w:rFonts w:ascii="Arial" w:hAnsi="Arial" w:cs="Arial"/>
          <w:sz w:val="24"/>
          <w:szCs w:val="24"/>
        </w:rPr>
        <w:t xml:space="preserve">mj. </w:t>
      </w:r>
      <w:r w:rsidRPr="00B366C5">
        <w:rPr>
          <w:rFonts w:ascii="Arial" w:hAnsi="Arial" w:cs="Arial"/>
          <w:sz w:val="24"/>
          <w:szCs w:val="24"/>
        </w:rPr>
        <w:t xml:space="preserve">ke zvýšení mobility pracovníků v EU. Modernizovaná směrnice </w:t>
      </w:r>
      <w:r>
        <w:rPr>
          <w:rFonts w:ascii="Arial" w:hAnsi="Arial" w:cs="Arial"/>
          <w:sz w:val="24"/>
          <w:szCs w:val="24"/>
        </w:rPr>
        <w:t>zavádí</w:t>
      </w:r>
      <w:r w:rsidRPr="00B366C5">
        <w:rPr>
          <w:rFonts w:ascii="Arial" w:hAnsi="Arial" w:cs="Arial"/>
          <w:sz w:val="24"/>
          <w:szCs w:val="24"/>
        </w:rPr>
        <w:t xml:space="preserve"> evropský profesní průkaz, </w:t>
      </w:r>
      <w:r>
        <w:rPr>
          <w:rFonts w:ascii="Arial" w:hAnsi="Arial" w:cs="Arial"/>
          <w:sz w:val="24"/>
          <w:szCs w:val="24"/>
        </w:rPr>
        <w:t>m</w:t>
      </w:r>
      <w:r w:rsidRPr="00B366C5">
        <w:rPr>
          <w:rFonts w:ascii="Arial" w:hAnsi="Arial" w:cs="Arial"/>
          <w:sz w:val="24"/>
          <w:szCs w:val="24"/>
        </w:rPr>
        <w:t>ezi další novinky patří například částečný přístup k povolání, výstražný mechanismus a tzv. asistenční centra při jednotných kontaktních místech.</w:t>
      </w:r>
      <w:r>
        <w:rPr>
          <w:rFonts w:ascii="Arial" w:hAnsi="Arial" w:cs="Arial"/>
          <w:sz w:val="24"/>
          <w:szCs w:val="24"/>
        </w:rPr>
        <w:t xml:space="preserve"> Směrnice je dostupná na internetových stránkách:</w:t>
      </w:r>
    </w:p>
    <w:p w:rsidR="00044133" w:rsidRPr="00B366C5" w:rsidRDefault="000E78AC" w:rsidP="00044133">
      <w:pPr>
        <w:pStyle w:val="Prosttext"/>
        <w:rPr>
          <w:rFonts w:ascii="Arial" w:hAnsi="Arial" w:cs="Arial"/>
          <w:sz w:val="24"/>
          <w:szCs w:val="24"/>
        </w:rPr>
      </w:pPr>
      <w:hyperlink r:id="rId8" w:history="1">
        <w:r w:rsidR="00044133" w:rsidRPr="00B366C5">
          <w:rPr>
            <w:rStyle w:val="Hypertextovodkaz"/>
            <w:rFonts w:ascii="Arial" w:hAnsi="Arial" w:cs="Arial"/>
            <w:sz w:val="24"/>
            <w:szCs w:val="24"/>
          </w:rPr>
          <w:t>http://eur-lex.europa.eu/LexUriServ/LexUriServ.do?uri=OJ:L:2013:354:0132:0170:CS:PDF</w:t>
        </w:r>
      </w:hyperlink>
      <w:r w:rsidR="00044133" w:rsidRPr="00B366C5">
        <w:rPr>
          <w:rFonts w:ascii="Arial" w:hAnsi="Arial" w:cs="Arial"/>
          <w:sz w:val="24"/>
          <w:szCs w:val="24"/>
        </w:rPr>
        <w:t xml:space="preserve"> </w:t>
      </w:r>
    </w:p>
    <w:p w:rsidR="00044133" w:rsidRPr="001E4C63" w:rsidRDefault="00044133" w:rsidP="00044133">
      <w:pPr>
        <w:spacing w:before="100" w:beforeAutospacing="1" w:after="100" w:afterAutospacing="1" w:line="240" w:lineRule="auto"/>
        <w:jc w:val="left"/>
        <w:rPr>
          <w:rFonts w:ascii="Arial" w:eastAsiaTheme="minorHAnsi" w:hAnsi="Arial" w:cs="Arial"/>
          <w:b/>
          <w:sz w:val="24"/>
          <w:szCs w:val="24"/>
          <w:lang w:val="cs-CZ"/>
        </w:rPr>
      </w:pPr>
      <w:r w:rsidRPr="001E4C63">
        <w:rPr>
          <w:rFonts w:ascii="Arial" w:eastAsiaTheme="minorHAnsi" w:hAnsi="Arial" w:cs="Arial"/>
          <w:b/>
          <w:sz w:val="24"/>
          <w:szCs w:val="24"/>
          <w:lang w:val="cs-CZ"/>
        </w:rPr>
        <w:lastRenderedPageBreak/>
        <w:t xml:space="preserve">Návrh nařízení o elektronické identifikaci </w:t>
      </w:r>
    </w:p>
    <w:p w:rsidR="00044133" w:rsidRPr="001E4C63" w:rsidRDefault="00044133" w:rsidP="00044133">
      <w:pPr>
        <w:spacing w:before="100" w:beforeAutospacing="1" w:after="100" w:afterAutospacing="1" w:line="240" w:lineRule="auto"/>
        <w:rPr>
          <w:rFonts w:ascii="Arial" w:eastAsiaTheme="minorHAnsi" w:hAnsi="Arial" w:cs="Arial"/>
          <w:sz w:val="24"/>
          <w:szCs w:val="24"/>
          <w:lang w:val="cs-CZ"/>
        </w:rPr>
      </w:pPr>
      <w:r>
        <w:rPr>
          <w:rFonts w:ascii="Arial" w:eastAsiaTheme="minorHAnsi" w:hAnsi="Arial" w:cs="Arial"/>
          <w:sz w:val="24"/>
          <w:szCs w:val="24"/>
          <w:lang w:val="cs-CZ"/>
        </w:rPr>
        <w:t>Dne 24. ledna 2014 projednávala Rada EU návrh</w:t>
      </w:r>
      <w:r w:rsidRPr="001E4C63">
        <w:rPr>
          <w:rFonts w:ascii="Arial" w:eastAsiaTheme="minorHAnsi" w:hAnsi="Arial" w:cs="Arial"/>
          <w:sz w:val="24"/>
          <w:szCs w:val="24"/>
          <w:lang w:val="cs-CZ"/>
        </w:rPr>
        <w:t xml:space="preserve"> nařízení o elektronické identifikaci a důvěryhodných službách pro elektronické transakce na vnitřním trhu. Stávající právní předpis EU, a to směrnice 99/93/ES o zásadách Společenství pro elektronické podpisy, již nesplňuje aktuální potřeby. </w:t>
      </w:r>
      <w:r w:rsidR="005D2298">
        <w:rPr>
          <w:rFonts w:ascii="Arial" w:eastAsiaTheme="minorHAnsi" w:hAnsi="Arial" w:cs="Arial"/>
          <w:sz w:val="24"/>
          <w:szCs w:val="24"/>
          <w:lang w:val="cs-CZ"/>
        </w:rPr>
        <w:t>N</w:t>
      </w:r>
      <w:r w:rsidRPr="001E4C63">
        <w:rPr>
          <w:rFonts w:ascii="Arial" w:eastAsiaTheme="minorHAnsi" w:hAnsi="Arial" w:cs="Arial"/>
          <w:sz w:val="24"/>
          <w:szCs w:val="24"/>
          <w:lang w:val="cs-CZ"/>
        </w:rPr>
        <w:t>ařízení by měl</w:t>
      </w:r>
      <w:r w:rsidR="00C21B3D">
        <w:rPr>
          <w:rFonts w:ascii="Arial" w:eastAsiaTheme="minorHAnsi" w:hAnsi="Arial" w:cs="Arial"/>
          <w:sz w:val="24"/>
          <w:szCs w:val="24"/>
          <w:lang w:val="cs-CZ"/>
        </w:rPr>
        <w:t>o</w:t>
      </w:r>
      <w:r w:rsidRPr="001E4C63">
        <w:rPr>
          <w:rFonts w:ascii="Arial" w:eastAsiaTheme="minorHAnsi" w:hAnsi="Arial" w:cs="Arial"/>
          <w:sz w:val="24"/>
          <w:szCs w:val="24"/>
          <w:lang w:val="cs-CZ"/>
        </w:rPr>
        <w:t xml:space="preserve"> zajistit bezpečné elektronické kontakty mezi podniky, občany a orgány veřejné správy, a tím zvýšit efektivnost veřejných a soukromých internetových služeb, elektronického podnikání a elektronického obchodu v EU.</w:t>
      </w:r>
      <w:r>
        <w:rPr>
          <w:rFonts w:ascii="Arial" w:eastAsiaTheme="minorHAnsi" w:hAnsi="Arial" w:cs="Arial"/>
          <w:sz w:val="24"/>
          <w:szCs w:val="24"/>
          <w:lang w:val="cs-CZ"/>
        </w:rPr>
        <w:t xml:space="preserve"> </w:t>
      </w:r>
      <w:r w:rsidRPr="001E4C63">
        <w:rPr>
          <w:rFonts w:ascii="Arial" w:eastAsiaTheme="minorHAnsi" w:hAnsi="Arial" w:cs="Arial"/>
          <w:sz w:val="24"/>
          <w:szCs w:val="24"/>
          <w:lang w:val="cs-CZ"/>
        </w:rPr>
        <w:t>Požaduje se, aby elektro</w:t>
      </w:r>
      <w:r w:rsidR="005D2298">
        <w:rPr>
          <w:rFonts w:ascii="Arial" w:eastAsiaTheme="minorHAnsi" w:hAnsi="Arial" w:cs="Arial"/>
          <w:sz w:val="24"/>
          <w:szCs w:val="24"/>
          <w:lang w:val="cs-CZ"/>
        </w:rPr>
        <w:t>nická identifikace, autentizace i</w:t>
      </w:r>
      <w:r w:rsidRPr="001E4C63">
        <w:rPr>
          <w:rFonts w:ascii="Arial" w:eastAsiaTheme="minorHAnsi" w:hAnsi="Arial" w:cs="Arial"/>
          <w:sz w:val="24"/>
          <w:szCs w:val="24"/>
          <w:lang w:val="cs-CZ"/>
        </w:rPr>
        <w:t xml:space="preserve"> podpisy byly vzájemně uznávány a akceptovány v celé EU</w:t>
      </w:r>
      <w:r w:rsidR="00C21B3D">
        <w:rPr>
          <w:rFonts w:ascii="Arial" w:eastAsiaTheme="minorHAnsi" w:hAnsi="Arial" w:cs="Arial"/>
          <w:sz w:val="24"/>
          <w:szCs w:val="24"/>
          <w:lang w:val="cs-CZ"/>
        </w:rPr>
        <w:t>.</w:t>
      </w:r>
      <w:r w:rsidR="005D2298">
        <w:rPr>
          <w:rFonts w:ascii="Arial" w:eastAsiaTheme="minorHAnsi" w:hAnsi="Arial" w:cs="Arial"/>
          <w:sz w:val="24"/>
          <w:szCs w:val="24"/>
          <w:lang w:val="cs-CZ"/>
        </w:rPr>
        <w:t xml:space="preserve"> Dne 25. února Rada a Evropský parlament dosáhly dohody. Plenární hlasování v Evropském parlamentu by mělo proběhnout v</w:t>
      </w:r>
      <w:r w:rsidR="000461A1">
        <w:rPr>
          <w:rFonts w:ascii="Arial" w:eastAsiaTheme="minorHAnsi" w:hAnsi="Arial" w:cs="Arial"/>
          <w:sz w:val="24"/>
          <w:szCs w:val="24"/>
          <w:lang w:val="cs-CZ"/>
        </w:rPr>
        <w:t> </w:t>
      </w:r>
      <w:r w:rsidR="005D2298">
        <w:rPr>
          <w:rFonts w:ascii="Arial" w:eastAsiaTheme="minorHAnsi" w:hAnsi="Arial" w:cs="Arial"/>
          <w:sz w:val="24"/>
          <w:szCs w:val="24"/>
          <w:lang w:val="cs-CZ"/>
        </w:rPr>
        <w:t>dubnu</w:t>
      </w:r>
      <w:r w:rsidR="000461A1">
        <w:rPr>
          <w:rFonts w:ascii="Arial" w:eastAsiaTheme="minorHAnsi" w:hAnsi="Arial" w:cs="Arial"/>
          <w:sz w:val="24"/>
          <w:szCs w:val="24"/>
          <w:lang w:val="cs-CZ"/>
        </w:rPr>
        <w:t xml:space="preserve"> 2014</w:t>
      </w:r>
      <w:r w:rsidR="005D2298">
        <w:rPr>
          <w:rFonts w:ascii="Arial" w:eastAsiaTheme="minorHAnsi" w:hAnsi="Arial" w:cs="Arial"/>
          <w:sz w:val="24"/>
          <w:szCs w:val="24"/>
          <w:lang w:val="cs-CZ"/>
        </w:rPr>
        <w:t>.</w:t>
      </w:r>
    </w:p>
    <w:p w:rsidR="00044133" w:rsidRDefault="00044133" w:rsidP="00044133">
      <w:pPr>
        <w:pStyle w:val="Prosttext"/>
        <w:rPr>
          <w:rFonts w:ascii="Arial" w:hAnsi="Arial" w:cs="Arial"/>
          <w:b/>
          <w:sz w:val="24"/>
          <w:szCs w:val="24"/>
        </w:rPr>
      </w:pPr>
    </w:p>
    <w:p w:rsidR="00044133" w:rsidRPr="002E75CE" w:rsidRDefault="00044133" w:rsidP="00044133">
      <w:pPr>
        <w:pStyle w:val="Prosttext"/>
        <w:rPr>
          <w:rFonts w:ascii="Arial" w:hAnsi="Arial" w:cs="Arial"/>
          <w:b/>
          <w:sz w:val="24"/>
          <w:szCs w:val="24"/>
        </w:rPr>
      </w:pPr>
      <w:r w:rsidRPr="002E75CE">
        <w:rPr>
          <w:rFonts w:ascii="Arial" w:hAnsi="Arial" w:cs="Arial"/>
          <w:b/>
          <w:sz w:val="24"/>
          <w:szCs w:val="24"/>
        </w:rPr>
        <w:t>Veřejné listiny</w:t>
      </w:r>
    </w:p>
    <w:p w:rsidR="00044133" w:rsidRPr="002E75CE" w:rsidRDefault="00044133" w:rsidP="00044133">
      <w:pPr>
        <w:pStyle w:val="Prosttext"/>
        <w:rPr>
          <w:rFonts w:ascii="Arial" w:hAnsi="Arial" w:cs="Arial"/>
          <w:b/>
          <w:sz w:val="24"/>
          <w:szCs w:val="24"/>
        </w:rPr>
      </w:pPr>
    </w:p>
    <w:p w:rsidR="00044133" w:rsidRDefault="00044133" w:rsidP="00044133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E75CE">
        <w:rPr>
          <w:rFonts w:ascii="Arial" w:hAnsi="Arial" w:cs="Arial"/>
          <w:sz w:val="24"/>
          <w:szCs w:val="24"/>
        </w:rPr>
        <w:t>Parlamentní výbor pro právní záležitosti (JURI) dne</w:t>
      </w:r>
      <w:r w:rsidR="003D2674">
        <w:rPr>
          <w:rFonts w:ascii="Arial" w:hAnsi="Arial" w:cs="Arial"/>
          <w:sz w:val="24"/>
          <w:szCs w:val="24"/>
        </w:rPr>
        <w:t xml:space="preserve"> 15. ledna 2014 přijal zprávu o </w:t>
      </w:r>
      <w:r w:rsidRPr="002E75CE">
        <w:rPr>
          <w:rFonts w:ascii="Arial" w:hAnsi="Arial" w:cs="Arial"/>
          <w:sz w:val="24"/>
          <w:szCs w:val="24"/>
        </w:rPr>
        <w:t>návrhu nařízení o podpo</w:t>
      </w:r>
      <w:r w:rsidRPr="002E75CE">
        <w:rPr>
          <w:rFonts w:ascii="Arial" w:hAnsi="Arial" w:cs="Arial" w:hint="eastAsia"/>
          <w:sz w:val="24"/>
          <w:szCs w:val="24"/>
        </w:rPr>
        <w:t>ř</w:t>
      </w:r>
      <w:r w:rsidRPr="002E75CE">
        <w:rPr>
          <w:rFonts w:ascii="Arial" w:hAnsi="Arial" w:cs="Arial"/>
          <w:sz w:val="24"/>
          <w:szCs w:val="24"/>
        </w:rPr>
        <w:t>e volného pohybu ob</w:t>
      </w:r>
      <w:r w:rsidRPr="002E75CE">
        <w:rPr>
          <w:rFonts w:ascii="Arial" w:hAnsi="Arial" w:cs="Arial" w:hint="eastAsia"/>
          <w:sz w:val="24"/>
          <w:szCs w:val="24"/>
        </w:rPr>
        <w:t>č</w:t>
      </w:r>
      <w:r w:rsidRPr="002E75CE">
        <w:rPr>
          <w:rFonts w:ascii="Arial" w:hAnsi="Arial" w:cs="Arial"/>
          <w:sz w:val="24"/>
          <w:szCs w:val="24"/>
        </w:rPr>
        <w:t>an</w:t>
      </w:r>
      <w:r w:rsidRPr="002E75CE">
        <w:rPr>
          <w:rFonts w:ascii="Arial" w:hAnsi="Arial" w:cs="Arial" w:hint="eastAsia"/>
          <w:sz w:val="24"/>
          <w:szCs w:val="24"/>
        </w:rPr>
        <w:t>ů</w:t>
      </w:r>
      <w:r w:rsidRPr="002E75CE">
        <w:rPr>
          <w:rFonts w:ascii="Arial" w:hAnsi="Arial" w:cs="Arial"/>
          <w:sz w:val="24"/>
          <w:szCs w:val="24"/>
        </w:rPr>
        <w:t xml:space="preserve"> a podnik</w:t>
      </w:r>
      <w:r w:rsidRPr="002E75CE">
        <w:rPr>
          <w:rFonts w:ascii="Arial" w:hAnsi="Arial" w:cs="Arial" w:hint="eastAsia"/>
          <w:sz w:val="24"/>
          <w:szCs w:val="24"/>
        </w:rPr>
        <w:t>ů</w:t>
      </w:r>
      <w:r w:rsidRPr="002E75CE">
        <w:rPr>
          <w:rFonts w:ascii="Arial" w:hAnsi="Arial" w:cs="Arial"/>
          <w:sz w:val="24"/>
          <w:szCs w:val="24"/>
        </w:rPr>
        <w:t xml:space="preserve"> zjednodu</w:t>
      </w:r>
      <w:r w:rsidRPr="002E75CE">
        <w:rPr>
          <w:rFonts w:ascii="Arial" w:hAnsi="Arial" w:cs="Arial" w:hint="eastAsia"/>
          <w:sz w:val="24"/>
          <w:szCs w:val="24"/>
        </w:rPr>
        <w:t>š</w:t>
      </w:r>
      <w:r w:rsidRPr="002E75CE">
        <w:rPr>
          <w:rFonts w:ascii="Arial" w:hAnsi="Arial" w:cs="Arial"/>
          <w:sz w:val="24"/>
          <w:szCs w:val="24"/>
        </w:rPr>
        <w:t>ením přijímání n</w:t>
      </w:r>
      <w:r w:rsidRPr="002E75CE">
        <w:rPr>
          <w:rFonts w:ascii="Arial" w:hAnsi="Arial" w:cs="Arial" w:hint="eastAsia"/>
          <w:sz w:val="24"/>
          <w:szCs w:val="24"/>
        </w:rPr>
        <w:t>ě</w:t>
      </w:r>
      <w:r w:rsidRPr="002E75CE">
        <w:rPr>
          <w:rFonts w:ascii="Arial" w:hAnsi="Arial" w:cs="Arial"/>
          <w:sz w:val="24"/>
          <w:szCs w:val="24"/>
        </w:rPr>
        <w:t>kterých ve</w:t>
      </w:r>
      <w:r w:rsidRPr="002E75CE">
        <w:rPr>
          <w:rFonts w:ascii="Arial" w:hAnsi="Arial" w:cs="Arial" w:hint="eastAsia"/>
          <w:sz w:val="24"/>
          <w:szCs w:val="24"/>
        </w:rPr>
        <w:t>ř</w:t>
      </w:r>
      <w:r w:rsidRPr="002E75CE">
        <w:rPr>
          <w:rFonts w:ascii="Arial" w:hAnsi="Arial" w:cs="Arial"/>
          <w:sz w:val="24"/>
          <w:szCs w:val="24"/>
        </w:rPr>
        <w:t>ejných listin v Evropské unii a o zm</w:t>
      </w:r>
      <w:r w:rsidRPr="002E75CE">
        <w:rPr>
          <w:rFonts w:ascii="Arial" w:hAnsi="Arial" w:cs="Arial" w:hint="eastAsia"/>
          <w:sz w:val="24"/>
          <w:szCs w:val="24"/>
        </w:rPr>
        <w:t>ě</w:t>
      </w:r>
      <w:r w:rsidRPr="002E75CE">
        <w:rPr>
          <w:rFonts w:ascii="Arial" w:hAnsi="Arial" w:cs="Arial"/>
          <w:sz w:val="24"/>
          <w:szCs w:val="24"/>
        </w:rPr>
        <w:t>n</w:t>
      </w:r>
      <w:r w:rsidRPr="002E75CE">
        <w:rPr>
          <w:rFonts w:ascii="Arial" w:hAnsi="Arial" w:cs="Arial" w:hint="eastAsia"/>
          <w:sz w:val="24"/>
          <w:szCs w:val="24"/>
        </w:rPr>
        <w:t>ě</w:t>
      </w:r>
      <w:r w:rsidRPr="002E75CE">
        <w:rPr>
          <w:rFonts w:ascii="Arial" w:hAnsi="Arial" w:cs="Arial"/>
          <w:sz w:val="24"/>
          <w:szCs w:val="24"/>
        </w:rPr>
        <w:t xml:space="preserve"> na</w:t>
      </w:r>
      <w:r w:rsidRPr="002E75CE">
        <w:rPr>
          <w:rFonts w:ascii="Arial" w:hAnsi="Arial" w:cs="Arial" w:hint="eastAsia"/>
          <w:sz w:val="24"/>
          <w:szCs w:val="24"/>
        </w:rPr>
        <w:t>ř</w:t>
      </w:r>
      <w:r w:rsidRPr="002E75CE">
        <w:rPr>
          <w:rFonts w:ascii="Arial" w:hAnsi="Arial" w:cs="Arial"/>
          <w:sz w:val="24"/>
          <w:szCs w:val="24"/>
        </w:rPr>
        <w:t xml:space="preserve">ízení (EU) </w:t>
      </w:r>
      <w:r w:rsidRPr="002E75CE">
        <w:rPr>
          <w:rFonts w:ascii="Arial" w:hAnsi="Arial" w:cs="Arial" w:hint="eastAsia"/>
          <w:sz w:val="24"/>
          <w:szCs w:val="24"/>
        </w:rPr>
        <w:t>č</w:t>
      </w:r>
      <w:r w:rsidR="003D2674">
        <w:rPr>
          <w:rFonts w:ascii="Arial" w:hAnsi="Arial" w:cs="Arial"/>
          <w:sz w:val="24"/>
          <w:szCs w:val="24"/>
        </w:rPr>
        <w:t>. </w:t>
      </w:r>
      <w:r w:rsidRPr="002E75CE">
        <w:rPr>
          <w:rFonts w:ascii="Arial" w:hAnsi="Arial" w:cs="Arial"/>
          <w:sz w:val="24"/>
          <w:szCs w:val="24"/>
        </w:rPr>
        <w:t>1024/2012. Evropský parlament následně 4. února 2014 podpořil pozměňovací návrhy.</w:t>
      </w:r>
      <w:r w:rsidR="00C21B3D">
        <w:rPr>
          <w:rFonts w:ascii="Arial" w:hAnsi="Arial" w:cs="Arial"/>
          <w:sz w:val="24"/>
          <w:szCs w:val="24"/>
        </w:rPr>
        <w:t xml:space="preserve"> Zpráva je dostupná na internetových stránkách:</w:t>
      </w:r>
    </w:p>
    <w:p w:rsidR="00044133" w:rsidRPr="00B915F4" w:rsidRDefault="000E78AC" w:rsidP="00044133">
      <w:pPr>
        <w:pStyle w:val="Prosttext"/>
        <w:rPr>
          <w:rFonts w:ascii="Arial" w:hAnsi="Arial" w:cs="Arial"/>
          <w:sz w:val="24"/>
          <w:szCs w:val="24"/>
        </w:rPr>
      </w:pPr>
      <w:hyperlink r:id="rId9" w:history="1">
        <w:r w:rsidR="00044133" w:rsidRPr="00B915F4">
          <w:rPr>
            <w:rStyle w:val="Hypertextovodkaz"/>
            <w:rFonts w:ascii="Arial" w:hAnsi="Arial" w:cs="Arial"/>
            <w:sz w:val="24"/>
            <w:szCs w:val="24"/>
          </w:rPr>
          <w:t>http://www.europarl.europa.eu/sides/getDoc.do?pubRef=-//EP//NONSGML+REPORT+A7-2014-0017+0+DOC+PDF+V0//CS</w:t>
        </w:r>
      </w:hyperlink>
      <w:r w:rsidR="00044133" w:rsidRPr="00B915F4">
        <w:rPr>
          <w:rFonts w:ascii="Arial" w:hAnsi="Arial" w:cs="Arial"/>
          <w:sz w:val="24"/>
          <w:szCs w:val="24"/>
        </w:rPr>
        <w:t xml:space="preserve"> </w:t>
      </w:r>
    </w:p>
    <w:p w:rsidR="00044133" w:rsidRDefault="00044133" w:rsidP="00044133">
      <w:pPr>
        <w:pStyle w:val="Prosttext"/>
        <w:rPr>
          <w:rFonts w:ascii="Arial" w:hAnsi="Arial" w:cs="Arial"/>
          <w:b/>
          <w:sz w:val="24"/>
          <w:szCs w:val="24"/>
        </w:rPr>
      </w:pPr>
    </w:p>
    <w:p w:rsidR="00044133" w:rsidRDefault="00044133" w:rsidP="00044133">
      <w:pPr>
        <w:pStyle w:val="Prosttext"/>
        <w:rPr>
          <w:rFonts w:ascii="Arial" w:hAnsi="Arial" w:cs="Arial"/>
          <w:b/>
          <w:sz w:val="24"/>
          <w:szCs w:val="24"/>
        </w:rPr>
      </w:pPr>
    </w:p>
    <w:p w:rsidR="00044133" w:rsidRDefault="00044133" w:rsidP="00044133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Úpadkové řízení</w:t>
      </w:r>
    </w:p>
    <w:p w:rsidR="00044133" w:rsidRDefault="00044133" w:rsidP="00044133">
      <w:pPr>
        <w:pStyle w:val="Prosttext"/>
        <w:rPr>
          <w:rFonts w:ascii="Arial" w:hAnsi="Arial" w:cs="Arial"/>
          <w:b/>
          <w:sz w:val="24"/>
          <w:szCs w:val="24"/>
        </w:rPr>
      </w:pPr>
    </w:p>
    <w:p w:rsidR="00044133" w:rsidRDefault="00044133" w:rsidP="0004413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Evropský parlament dne 5. února 2014 </w:t>
      </w:r>
      <w:r w:rsidRPr="00C63AA3">
        <w:rPr>
          <w:rFonts w:ascii="Arial" w:hAnsi="Arial" w:cs="Arial"/>
          <w:color w:val="auto"/>
        </w:rPr>
        <w:t>odhlasoval návrh Evropské komise na modernizaci evropských pravidel pro ře</w:t>
      </w:r>
      <w:r>
        <w:rPr>
          <w:rFonts w:ascii="Arial" w:hAnsi="Arial" w:cs="Arial"/>
          <w:color w:val="auto"/>
        </w:rPr>
        <w:t>šení přeshraničních insolvencí (návrh</w:t>
      </w:r>
      <w:r w:rsidRPr="00DE66C8">
        <w:rPr>
          <w:rFonts w:ascii="Arial" w:hAnsi="Arial" w:cs="Arial"/>
          <w:color w:val="auto"/>
        </w:rPr>
        <w:t xml:space="preserve"> nařízení, kterým se mění nařízení Rady (ES) č. 1346/2000 o úpadkovém řízení</w:t>
      </w:r>
      <w:r>
        <w:rPr>
          <w:rFonts w:ascii="Arial" w:hAnsi="Arial" w:cs="Arial"/>
          <w:color w:val="auto"/>
        </w:rPr>
        <w:t xml:space="preserve">). </w:t>
      </w:r>
      <w:r w:rsidRPr="00C63AA3">
        <w:rPr>
          <w:rFonts w:ascii="Arial" w:hAnsi="Arial" w:cs="Arial"/>
          <w:color w:val="auto"/>
        </w:rPr>
        <w:t>Návrh musí být ještě schválen členskými státy v Radě, což se očekává v červnu.</w:t>
      </w:r>
      <w:r>
        <w:rPr>
          <w:rFonts w:ascii="Arial" w:hAnsi="Arial" w:cs="Arial"/>
          <w:color w:val="auto"/>
        </w:rPr>
        <w:t xml:space="preserve"> Pro více informací: </w:t>
      </w:r>
    </w:p>
    <w:p w:rsidR="00044133" w:rsidRPr="00C63AA3" w:rsidRDefault="000E78AC" w:rsidP="00044133">
      <w:pPr>
        <w:pStyle w:val="Default"/>
        <w:jc w:val="both"/>
        <w:rPr>
          <w:rFonts w:ascii="Arial" w:hAnsi="Arial" w:cs="Arial"/>
          <w:color w:val="auto"/>
        </w:rPr>
      </w:pPr>
      <w:hyperlink r:id="rId10" w:history="1">
        <w:r w:rsidR="00044133" w:rsidRPr="00DC6540">
          <w:rPr>
            <w:rStyle w:val="Hypertextovodkaz"/>
            <w:rFonts w:ascii="Arial" w:hAnsi="Arial" w:cs="Arial"/>
          </w:rPr>
          <w:t>http://www.europarl.europa.eu/sides/getDoc.do?pubRef=-//EP//TEXT+TA+P7-TA-2014-0093+0+DOC+XML+V0//CS</w:t>
        </w:r>
      </w:hyperlink>
      <w:r w:rsidR="00044133">
        <w:rPr>
          <w:rFonts w:ascii="Arial" w:hAnsi="Arial" w:cs="Arial"/>
          <w:color w:val="auto"/>
        </w:rPr>
        <w:t xml:space="preserve"> </w:t>
      </w:r>
    </w:p>
    <w:p w:rsidR="00CA1D6D" w:rsidRDefault="00CA1D6D" w:rsidP="00AE1DC3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044133" w:rsidRDefault="00044133" w:rsidP="00AE1DC3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044133" w:rsidRPr="00B25DAB" w:rsidRDefault="00044133" w:rsidP="00044133">
      <w:pPr>
        <w:pStyle w:val="Prosttext"/>
        <w:rPr>
          <w:rFonts w:ascii="Arial" w:hAnsi="Arial" w:cs="Arial"/>
          <w:sz w:val="24"/>
          <w:szCs w:val="24"/>
        </w:rPr>
      </w:pPr>
      <w:r w:rsidRPr="00484B1B">
        <w:rPr>
          <w:rFonts w:ascii="Arial" w:hAnsi="Arial" w:cs="Arial"/>
          <w:b/>
          <w:sz w:val="24"/>
          <w:szCs w:val="24"/>
        </w:rPr>
        <w:t>Evropský příkaz k obstavení účtů</w:t>
      </w:r>
    </w:p>
    <w:p w:rsidR="00044133" w:rsidRDefault="00044133" w:rsidP="00044133">
      <w:pPr>
        <w:pStyle w:val="Prosttext"/>
        <w:rPr>
          <w:rFonts w:ascii="Arial" w:hAnsi="Arial" w:cs="Arial"/>
          <w:b/>
          <w:sz w:val="24"/>
          <w:szCs w:val="24"/>
        </w:rPr>
      </w:pPr>
    </w:p>
    <w:p w:rsidR="00044133" w:rsidRDefault="00044133" w:rsidP="00044133">
      <w:pPr>
        <w:pStyle w:val="Default"/>
        <w:jc w:val="both"/>
        <w:rPr>
          <w:rFonts w:ascii="Arial" w:hAnsi="Arial" w:cs="Arial"/>
          <w:color w:val="auto"/>
        </w:rPr>
      </w:pPr>
      <w:r w:rsidRPr="00484B1B">
        <w:rPr>
          <w:rFonts w:ascii="Arial" w:hAnsi="Arial" w:cs="Arial"/>
          <w:color w:val="auto"/>
        </w:rPr>
        <w:t>Poté, co se Rada</w:t>
      </w:r>
      <w:r w:rsidR="00C21B3D">
        <w:rPr>
          <w:rFonts w:ascii="Arial" w:hAnsi="Arial" w:cs="Arial"/>
          <w:color w:val="auto"/>
        </w:rPr>
        <w:t xml:space="preserve"> EU </w:t>
      </w:r>
      <w:r w:rsidRPr="00484B1B">
        <w:rPr>
          <w:rFonts w:ascii="Arial" w:hAnsi="Arial" w:cs="Arial"/>
          <w:color w:val="auto"/>
        </w:rPr>
        <w:t xml:space="preserve">dohodla na obecném přístupu k návrhu nařízení, kterým se zavádí evropský příkaz k obstavení účtů k usnadnění vymáhání přeshraničních pohledávek v občanských a obchodních věcech, </w:t>
      </w:r>
      <w:r>
        <w:rPr>
          <w:rFonts w:ascii="Arial" w:hAnsi="Arial" w:cs="Arial"/>
          <w:color w:val="auto"/>
        </w:rPr>
        <w:t>je</w:t>
      </w:r>
      <w:r w:rsidRPr="00484B1B">
        <w:rPr>
          <w:rFonts w:ascii="Arial" w:hAnsi="Arial" w:cs="Arial"/>
          <w:color w:val="auto"/>
        </w:rPr>
        <w:t xml:space="preserve"> tento obecný přístup základem pro jednání s Evropským parlamentem za účelem dohody o konečném znění nařízení.</w:t>
      </w:r>
      <w:r>
        <w:rPr>
          <w:rFonts w:ascii="Arial" w:hAnsi="Arial" w:cs="Arial"/>
          <w:color w:val="auto"/>
        </w:rPr>
        <w:t xml:space="preserve"> Dne 11. února 2014 parlamentní Výbor pro právní záležitosti (JURI) odhlasoval návrh a plenární hlasování Evropského parlamentu by mělo proběhnout v dubnu 2014.</w:t>
      </w:r>
      <w:r w:rsidRPr="00484B1B">
        <w:rPr>
          <w:rFonts w:ascii="Arial" w:hAnsi="Arial" w:cs="Arial"/>
          <w:color w:val="auto"/>
        </w:rPr>
        <w:t xml:space="preserve"> Cílem navrhovaného nařízení je usnadnit vymáhání přeshraničních pohledávek zavedením jednotného evropského řízení vedoucího k vydání evropského příkazu k obstavení úč</w:t>
      </w:r>
      <w:r>
        <w:rPr>
          <w:rFonts w:ascii="Arial" w:hAnsi="Arial" w:cs="Arial"/>
          <w:color w:val="auto"/>
        </w:rPr>
        <w:t xml:space="preserve">tu. </w:t>
      </w:r>
      <w:r w:rsidRPr="00484B1B">
        <w:rPr>
          <w:rFonts w:ascii="Arial" w:hAnsi="Arial" w:cs="Arial"/>
          <w:color w:val="auto"/>
        </w:rPr>
        <w:t xml:space="preserve">Toto evropské řízení bude k dispozici občanům a podnikům jako alternativa k vnitrostátním řízením, ale nebude vnitrostátní řízení nahrazovat. Uplatňovat se bude pouze na přeshraniční případy. </w:t>
      </w:r>
    </w:p>
    <w:p w:rsidR="00044133" w:rsidRDefault="00044133" w:rsidP="00AE1DC3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AE1DC3" w:rsidRDefault="00AE1DC3" w:rsidP="00AE1DC3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Veřejné zakázky</w:t>
      </w:r>
    </w:p>
    <w:p w:rsidR="007F0824" w:rsidRPr="0014647E" w:rsidRDefault="007F0824" w:rsidP="003474DA">
      <w:pPr>
        <w:pStyle w:val="Prosttext"/>
        <w:rPr>
          <w:rFonts w:ascii="Arial" w:hAnsi="Arial" w:cs="Arial"/>
          <w:sz w:val="24"/>
          <w:szCs w:val="24"/>
        </w:rPr>
      </w:pPr>
    </w:p>
    <w:p w:rsidR="00B25DAB" w:rsidRDefault="00AE1DC3" w:rsidP="00B25DAB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CA1D6D">
        <w:rPr>
          <w:rFonts w:ascii="Arial" w:hAnsi="Arial" w:cs="Arial"/>
          <w:sz w:val="24"/>
          <w:szCs w:val="24"/>
        </w:rPr>
        <w:t xml:space="preserve">Rada </w:t>
      </w:r>
      <w:r w:rsidR="0014647E" w:rsidRPr="00CA1D6D">
        <w:rPr>
          <w:rFonts w:ascii="Arial" w:hAnsi="Arial" w:cs="Arial"/>
          <w:sz w:val="24"/>
          <w:szCs w:val="24"/>
        </w:rPr>
        <w:t xml:space="preserve">dne 11. února 2014 </w:t>
      </w:r>
      <w:r w:rsidRPr="00CA1D6D">
        <w:rPr>
          <w:rFonts w:ascii="Arial" w:hAnsi="Arial" w:cs="Arial"/>
          <w:sz w:val="24"/>
          <w:szCs w:val="24"/>
        </w:rPr>
        <w:t>přijala směrnice pro reformu veřejných zakázek. Legislativní balíček pro modernizaci zadávání veřejných zakázek v EU se skládá ze směrnic</w:t>
      </w:r>
      <w:r w:rsidR="0014647E" w:rsidRPr="00CA1D6D">
        <w:rPr>
          <w:rFonts w:ascii="Arial" w:hAnsi="Arial" w:cs="Arial"/>
          <w:sz w:val="24"/>
          <w:szCs w:val="24"/>
        </w:rPr>
        <w:t>e</w:t>
      </w:r>
      <w:r w:rsidRPr="00CA1D6D">
        <w:rPr>
          <w:rFonts w:ascii="Arial" w:hAnsi="Arial" w:cs="Arial"/>
          <w:sz w:val="24"/>
          <w:szCs w:val="24"/>
        </w:rPr>
        <w:t xml:space="preserve"> </w:t>
      </w:r>
      <w:r w:rsidR="00CA1D6D">
        <w:rPr>
          <w:rFonts w:ascii="Arial" w:hAnsi="Arial" w:cs="Arial"/>
          <w:sz w:val="24"/>
          <w:szCs w:val="24"/>
        </w:rPr>
        <w:t>o zadávání veřejných zakázek;</w:t>
      </w:r>
      <w:r w:rsidRPr="00CA1D6D">
        <w:rPr>
          <w:rFonts w:ascii="Arial" w:hAnsi="Arial" w:cs="Arial"/>
          <w:sz w:val="24"/>
          <w:szCs w:val="24"/>
        </w:rPr>
        <w:t xml:space="preserve"> o zadávání zakázek subjekty působícími v odvětví vodního hospodářství, energetiky, dopravy a poštovních služeb</w:t>
      </w:r>
      <w:r w:rsidR="00CA1D6D">
        <w:rPr>
          <w:rFonts w:ascii="Arial" w:hAnsi="Arial" w:cs="Arial"/>
          <w:sz w:val="24"/>
          <w:szCs w:val="24"/>
        </w:rPr>
        <w:t>;</w:t>
      </w:r>
      <w:r w:rsidRPr="00CA1D6D">
        <w:rPr>
          <w:rFonts w:ascii="Arial" w:hAnsi="Arial" w:cs="Arial"/>
          <w:sz w:val="24"/>
          <w:szCs w:val="24"/>
        </w:rPr>
        <w:t xml:space="preserve"> a směrnici o udělování koncesí. </w:t>
      </w:r>
      <w:r w:rsidR="00B25DAB">
        <w:rPr>
          <w:rFonts w:ascii="Arial" w:hAnsi="Arial" w:cs="Arial"/>
          <w:sz w:val="24"/>
          <w:szCs w:val="24"/>
        </w:rPr>
        <w:t xml:space="preserve">Pro více informací: </w:t>
      </w:r>
    </w:p>
    <w:p w:rsidR="00B25DAB" w:rsidRDefault="000E78AC" w:rsidP="00B25DAB">
      <w:pPr>
        <w:pStyle w:val="Prosttext"/>
        <w:rPr>
          <w:rFonts w:ascii="Arial" w:hAnsi="Arial" w:cs="Arial"/>
          <w:sz w:val="24"/>
          <w:szCs w:val="24"/>
        </w:rPr>
      </w:pPr>
      <w:hyperlink r:id="rId11" w:history="1">
        <w:r w:rsidR="00B25DAB" w:rsidRPr="00DC6540">
          <w:rPr>
            <w:rStyle w:val="Hypertextovodkaz"/>
            <w:rFonts w:ascii="Arial" w:hAnsi="Arial" w:cs="Arial"/>
            <w:sz w:val="24"/>
            <w:szCs w:val="24"/>
          </w:rPr>
          <w:t>http://www.consilium.europa.eu/uedocs/cms_data/docs/pressdata/en/intm/140975.pdf</w:t>
        </w:r>
      </w:hyperlink>
      <w:r w:rsidR="00B25DAB">
        <w:rPr>
          <w:rFonts w:ascii="Arial" w:hAnsi="Arial" w:cs="Arial"/>
          <w:sz w:val="24"/>
          <w:szCs w:val="24"/>
        </w:rPr>
        <w:t xml:space="preserve"> </w:t>
      </w:r>
    </w:p>
    <w:p w:rsidR="00B25DAB" w:rsidRDefault="00B25DAB" w:rsidP="00B25DAB">
      <w:pPr>
        <w:pStyle w:val="Prosttext"/>
        <w:rPr>
          <w:rFonts w:ascii="Arial" w:hAnsi="Arial" w:cs="Arial"/>
          <w:b/>
          <w:sz w:val="24"/>
          <w:szCs w:val="24"/>
        </w:rPr>
      </w:pPr>
    </w:p>
    <w:p w:rsidR="00044133" w:rsidRDefault="00044133" w:rsidP="00044133">
      <w:pPr>
        <w:pStyle w:val="Prosttext"/>
        <w:rPr>
          <w:rFonts w:ascii="Arial" w:hAnsi="Arial" w:cs="Arial"/>
          <w:b/>
          <w:sz w:val="24"/>
          <w:szCs w:val="24"/>
        </w:rPr>
      </w:pPr>
    </w:p>
    <w:p w:rsidR="00044133" w:rsidRDefault="00044133" w:rsidP="00044133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Sledování </w:t>
      </w:r>
    </w:p>
    <w:p w:rsidR="00044133" w:rsidRDefault="00044133" w:rsidP="00044133">
      <w:pPr>
        <w:pStyle w:val="Prosttext"/>
        <w:rPr>
          <w:rFonts w:ascii="Arial" w:hAnsi="Arial" w:cs="Arial"/>
          <w:b/>
          <w:sz w:val="24"/>
          <w:szCs w:val="24"/>
        </w:rPr>
      </w:pPr>
    </w:p>
    <w:p w:rsidR="00044133" w:rsidRPr="003301FA" w:rsidRDefault="00044133" w:rsidP="0004413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</w:rPr>
        <w:t xml:space="preserve">Dne 12. února 2014 hlasoval Výbor pro občanské svobody, spravedlnost a vnitřní věci (LIBE) ve věci pozměňovacích návrhů týkající se návrhu zprávy </w:t>
      </w:r>
      <w:r w:rsidRPr="003301FA">
        <w:rPr>
          <w:rFonts w:ascii="Arial" w:eastAsiaTheme="minorHAnsi" w:hAnsi="Arial" w:cs="Arial"/>
          <w:sz w:val="24"/>
          <w:szCs w:val="24"/>
          <w:lang w:val="cs-CZ"/>
        </w:rPr>
        <w:t>o programu agentury NSA (Spojené státy) pro sledování, subjektech členských států</w:t>
      </w:r>
      <w:r>
        <w:rPr>
          <w:rFonts w:ascii="Arial" w:eastAsiaTheme="minorHAnsi" w:hAnsi="Arial" w:cs="Arial"/>
          <w:sz w:val="24"/>
          <w:szCs w:val="24"/>
          <w:lang w:val="cs-CZ"/>
        </w:rPr>
        <w:t xml:space="preserve"> pro </w:t>
      </w:r>
      <w:r w:rsidRPr="003301FA">
        <w:rPr>
          <w:rFonts w:ascii="Arial" w:eastAsiaTheme="minorHAnsi" w:hAnsi="Arial" w:cs="Arial"/>
          <w:sz w:val="24"/>
          <w:szCs w:val="24"/>
          <w:lang w:val="cs-CZ"/>
        </w:rPr>
        <w:t>sledování a dopadech na základní práva občanů EU a</w:t>
      </w:r>
      <w:r>
        <w:rPr>
          <w:rFonts w:ascii="Arial" w:eastAsiaTheme="minorHAnsi" w:hAnsi="Arial" w:cs="Arial"/>
          <w:sz w:val="24"/>
          <w:szCs w:val="24"/>
          <w:lang w:val="cs-CZ"/>
        </w:rPr>
        <w:t xml:space="preserve"> na transatlantickou spolupráci </w:t>
      </w:r>
      <w:r w:rsidRPr="003301FA">
        <w:rPr>
          <w:rFonts w:ascii="Arial" w:eastAsiaTheme="minorHAnsi" w:hAnsi="Arial" w:cs="Arial"/>
          <w:sz w:val="24"/>
          <w:szCs w:val="24"/>
          <w:lang w:val="cs-CZ"/>
        </w:rPr>
        <w:t>v oblasti spravedlnosti a vnitřních věcí</w:t>
      </w:r>
      <w:r>
        <w:rPr>
          <w:rFonts w:ascii="Arial" w:eastAsiaTheme="minorHAnsi" w:hAnsi="Arial" w:cs="Arial"/>
          <w:sz w:val="24"/>
          <w:szCs w:val="24"/>
          <w:lang w:val="cs-CZ"/>
        </w:rPr>
        <w:t>. Dle dostupných informací zpráva ve zně</w:t>
      </w:r>
      <w:r w:rsidR="00C21B3D">
        <w:rPr>
          <w:rFonts w:ascii="Arial" w:eastAsiaTheme="minorHAnsi" w:hAnsi="Arial" w:cs="Arial"/>
          <w:sz w:val="24"/>
          <w:szCs w:val="24"/>
          <w:lang w:val="cs-CZ"/>
        </w:rPr>
        <w:t>ní po úpravách obsahuje výslovná</w:t>
      </w:r>
      <w:r>
        <w:rPr>
          <w:rFonts w:ascii="Arial" w:eastAsiaTheme="minorHAnsi" w:hAnsi="Arial" w:cs="Arial"/>
          <w:sz w:val="24"/>
          <w:szCs w:val="24"/>
          <w:lang w:val="cs-CZ"/>
        </w:rPr>
        <w:t xml:space="preserve"> ustanovení týkající</w:t>
      </w:r>
      <w:r w:rsidR="00C21B3D">
        <w:rPr>
          <w:rFonts w:ascii="Arial" w:eastAsiaTheme="minorHAnsi" w:hAnsi="Arial" w:cs="Arial"/>
          <w:sz w:val="24"/>
          <w:szCs w:val="24"/>
          <w:lang w:val="cs-CZ"/>
        </w:rPr>
        <w:t xml:space="preserve"> se vztahu profesní důvěrnosti a </w:t>
      </w:r>
      <w:r>
        <w:rPr>
          <w:rFonts w:ascii="Arial" w:eastAsiaTheme="minorHAnsi" w:hAnsi="Arial" w:cs="Arial"/>
          <w:sz w:val="24"/>
          <w:szCs w:val="24"/>
          <w:lang w:val="cs-CZ"/>
        </w:rPr>
        <w:t>vztah</w:t>
      </w:r>
      <w:r w:rsidR="00C21B3D">
        <w:rPr>
          <w:rFonts w:ascii="Arial" w:eastAsiaTheme="minorHAnsi" w:hAnsi="Arial" w:cs="Arial"/>
          <w:sz w:val="24"/>
          <w:szCs w:val="24"/>
          <w:lang w:val="cs-CZ"/>
        </w:rPr>
        <w:t>u mezi advokátem a klientem</w:t>
      </w:r>
      <w:r>
        <w:rPr>
          <w:rFonts w:ascii="Arial" w:eastAsiaTheme="minorHAnsi" w:hAnsi="Arial" w:cs="Arial"/>
          <w:sz w:val="24"/>
          <w:szCs w:val="24"/>
          <w:lang w:val="cs-CZ"/>
        </w:rPr>
        <w:t>. Plenární hlasování v Evropském parlamentu by mělo proběhnout v březnu 2014. Původní návrh zprávy je dostupný na internetových stránkách:</w:t>
      </w:r>
    </w:p>
    <w:p w:rsidR="00044133" w:rsidRPr="003301FA" w:rsidRDefault="000E78AC" w:rsidP="00044133">
      <w:pPr>
        <w:pStyle w:val="Prosttext"/>
        <w:rPr>
          <w:rFonts w:ascii="Arial" w:hAnsi="Arial" w:cs="Arial"/>
          <w:sz w:val="24"/>
          <w:szCs w:val="24"/>
        </w:rPr>
      </w:pPr>
      <w:hyperlink r:id="rId12" w:history="1">
        <w:r w:rsidR="00044133" w:rsidRPr="003301FA">
          <w:rPr>
            <w:rStyle w:val="Hypertextovodkaz"/>
            <w:rFonts w:ascii="Arial" w:hAnsi="Arial" w:cs="Arial"/>
            <w:sz w:val="24"/>
            <w:szCs w:val="24"/>
          </w:rPr>
          <w:t>http://www.europarl.europa.eu/sides/getDoc.do?pubRef=-//EP//NONSGML+COMPARL+PE-526.085+02+DOC+PDF+V0//CS&amp;language=CS</w:t>
        </w:r>
      </w:hyperlink>
      <w:r w:rsidR="00044133" w:rsidRPr="003301FA">
        <w:rPr>
          <w:rFonts w:ascii="Arial" w:hAnsi="Arial" w:cs="Arial"/>
          <w:sz w:val="24"/>
          <w:szCs w:val="24"/>
        </w:rPr>
        <w:t xml:space="preserve"> </w:t>
      </w:r>
    </w:p>
    <w:p w:rsidR="00044133" w:rsidRDefault="00044133" w:rsidP="00B25DAB">
      <w:pPr>
        <w:pStyle w:val="Prosttext"/>
        <w:rPr>
          <w:rFonts w:ascii="Arial" w:hAnsi="Arial" w:cs="Arial"/>
          <w:b/>
          <w:sz w:val="24"/>
          <w:szCs w:val="24"/>
        </w:rPr>
      </w:pPr>
    </w:p>
    <w:p w:rsidR="00044133" w:rsidRDefault="00044133" w:rsidP="00044133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044133" w:rsidRDefault="00044133" w:rsidP="00044133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CCBE Manifest k evropským volbám 2014 </w:t>
      </w:r>
    </w:p>
    <w:p w:rsidR="00044133" w:rsidRDefault="00044133" w:rsidP="00044133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044133" w:rsidRDefault="00044133" w:rsidP="00044133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14. února 2014 CCBE na svých stránkách publikovala dokument „Zlepšování justice v Evropě“. Dokument je zaměřen na čtyři aktuální okruhy problémů: hromadné elektronické sledování občanů; právní pomoc; procesní záruky v trestním právu a e-justice. Materiál je dostupný na internetových stránkách v anglickém jazyce:</w:t>
      </w:r>
    </w:p>
    <w:p w:rsidR="00044133" w:rsidRDefault="000E78AC" w:rsidP="00044133">
      <w:pPr>
        <w:pStyle w:val="Prosttext"/>
        <w:jc w:val="both"/>
        <w:rPr>
          <w:rFonts w:ascii="Arial" w:hAnsi="Arial" w:cs="Arial"/>
          <w:sz w:val="24"/>
          <w:szCs w:val="24"/>
        </w:rPr>
      </w:pPr>
      <w:hyperlink r:id="rId13" w:history="1">
        <w:r w:rsidR="00044133" w:rsidRPr="000D34A9">
          <w:rPr>
            <w:rStyle w:val="Hypertextovodkaz"/>
            <w:rFonts w:ascii="Arial" w:hAnsi="Arial" w:cs="Arial"/>
            <w:sz w:val="24"/>
            <w:szCs w:val="24"/>
          </w:rPr>
          <w:t>http://www.ccbe.eu/fileadmin/user_upload/NTCdocument/EN_Manifesto_2014_we1_1392375037.pdf</w:t>
        </w:r>
      </w:hyperlink>
      <w:r w:rsidR="00044133">
        <w:rPr>
          <w:rFonts w:ascii="Arial" w:hAnsi="Arial" w:cs="Arial"/>
          <w:sz w:val="24"/>
          <w:szCs w:val="24"/>
        </w:rPr>
        <w:t xml:space="preserve"> </w:t>
      </w:r>
    </w:p>
    <w:p w:rsidR="00044133" w:rsidRPr="00484B1B" w:rsidRDefault="00044133" w:rsidP="00484B1B">
      <w:pPr>
        <w:pStyle w:val="Default"/>
        <w:jc w:val="both"/>
        <w:rPr>
          <w:rFonts w:ascii="Arial" w:hAnsi="Arial" w:cs="Arial"/>
          <w:color w:val="auto"/>
        </w:rPr>
      </w:pPr>
    </w:p>
    <w:p w:rsidR="00FD4DE0" w:rsidRDefault="00FD4DE0" w:rsidP="003474DA">
      <w:pPr>
        <w:pStyle w:val="Prosttext"/>
        <w:rPr>
          <w:rFonts w:ascii="Arial" w:hAnsi="Arial" w:cs="Arial"/>
          <w:sz w:val="24"/>
          <w:szCs w:val="24"/>
        </w:rPr>
      </w:pPr>
    </w:p>
    <w:p w:rsidR="007A3B24" w:rsidRPr="007A3B24" w:rsidRDefault="007A3B24" w:rsidP="003474DA">
      <w:pPr>
        <w:pStyle w:val="Prosttext"/>
        <w:rPr>
          <w:rFonts w:ascii="Arial" w:hAnsi="Arial" w:cs="Arial"/>
          <w:b/>
          <w:sz w:val="24"/>
          <w:szCs w:val="24"/>
        </w:rPr>
      </w:pPr>
      <w:r w:rsidRPr="007A3B24">
        <w:rPr>
          <w:rFonts w:ascii="Arial" w:hAnsi="Arial" w:cs="Arial"/>
          <w:b/>
          <w:sz w:val="24"/>
          <w:szCs w:val="24"/>
        </w:rPr>
        <w:t>Praní špinavých peněz</w:t>
      </w:r>
    </w:p>
    <w:p w:rsidR="007A3B24" w:rsidRDefault="007A3B24" w:rsidP="003474DA">
      <w:pPr>
        <w:pStyle w:val="Prosttext"/>
        <w:rPr>
          <w:rFonts w:ascii="Arial" w:hAnsi="Arial" w:cs="Arial"/>
          <w:sz w:val="24"/>
          <w:szCs w:val="24"/>
        </w:rPr>
      </w:pPr>
    </w:p>
    <w:p w:rsidR="00044133" w:rsidRDefault="00E6328A" w:rsidP="00B915F4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20. února 2014 hlasoval parlamentní </w:t>
      </w:r>
      <w:r w:rsidR="00647EAC">
        <w:rPr>
          <w:rFonts w:ascii="Arial" w:hAnsi="Arial" w:cs="Arial"/>
          <w:sz w:val="24"/>
          <w:szCs w:val="24"/>
        </w:rPr>
        <w:t>Hospodářský a měnový v</w:t>
      </w:r>
      <w:r>
        <w:rPr>
          <w:rFonts w:ascii="Arial" w:hAnsi="Arial" w:cs="Arial"/>
          <w:sz w:val="24"/>
          <w:szCs w:val="24"/>
        </w:rPr>
        <w:t xml:space="preserve">ýbor </w:t>
      </w:r>
      <w:r w:rsidR="00647EA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ECON</w:t>
      </w:r>
      <w:r w:rsidR="00647EA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</w:t>
      </w:r>
      <w:r w:rsidR="00647EAC">
        <w:rPr>
          <w:rFonts w:ascii="Arial" w:hAnsi="Arial" w:cs="Arial"/>
          <w:sz w:val="24"/>
          <w:szCs w:val="24"/>
        </w:rPr>
        <w:t>Výbor pro občanské svobody, spravedlnost a vnitřní věci (</w:t>
      </w:r>
      <w:r>
        <w:rPr>
          <w:rFonts w:ascii="Arial" w:hAnsi="Arial" w:cs="Arial"/>
          <w:sz w:val="24"/>
          <w:szCs w:val="24"/>
        </w:rPr>
        <w:t>LIBE</w:t>
      </w:r>
      <w:r w:rsidR="00647EAC">
        <w:rPr>
          <w:rFonts w:ascii="Arial" w:hAnsi="Arial" w:cs="Arial"/>
          <w:sz w:val="24"/>
          <w:szCs w:val="24"/>
        </w:rPr>
        <w:t xml:space="preserve">) ve věci </w:t>
      </w:r>
      <w:r w:rsidR="00DB738E">
        <w:rPr>
          <w:rFonts w:ascii="Arial" w:hAnsi="Arial" w:cs="Arial"/>
          <w:sz w:val="24"/>
          <w:szCs w:val="24"/>
        </w:rPr>
        <w:t>pozměňovacích návrhů k návrhu nové směrnice</w:t>
      </w:r>
      <w:r w:rsidR="00647EAC">
        <w:rPr>
          <w:rFonts w:ascii="Arial" w:hAnsi="Arial" w:cs="Arial"/>
          <w:sz w:val="24"/>
          <w:szCs w:val="24"/>
        </w:rPr>
        <w:t xml:space="preserve"> o předcházení zneužití finančního systému k praní peněz a financování terorismu. </w:t>
      </w:r>
      <w:r w:rsidR="00B915F4">
        <w:rPr>
          <w:rFonts w:ascii="Arial" w:hAnsi="Arial" w:cs="Arial"/>
          <w:sz w:val="24"/>
          <w:szCs w:val="24"/>
        </w:rPr>
        <w:t>H</w:t>
      </w:r>
      <w:r w:rsidR="00647EAC">
        <w:rPr>
          <w:rFonts w:ascii="Arial" w:hAnsi="Arial" w:cs="Arial"/>
          <w:sz w:val="24"/>
          <w:szCs w:val="24"/>
        </w:rPr>
        <w:t xml:space="preserve">lasování v Evropském parlamentu </w:t>
      </w:r>
      <w:r w:rsidR="00B915F4">
        <w:rPr>
          <w:rFonts w:ascii="Arial" w:hAnsi="Arial" w:cs="Arial"/>
          <w:sz w:val="24"/>
          <w:szCs w:val="24"/>
        </w:rPr>
        <w:t xml:space="preserve">by mělo proběhnout </w:t>
      </w:r>
      <w:r w:rsidR="00647EAC">
        <w:rPr>
          <w:rFonts w:ascii="Arial" w:hAnsi="Arial" w:cs="Arial"/>
          <w:sz w:val="24"/>
          <w:szCs w:val="24"/>
        </w:rPr>
        <w:t xml:space="preserve">v průběhu března. </w:t>
      </w:r>
    </w:p>
    <w:p w:rsidR="00C21B3D" w:rsidRDefault="00C21B3D" w:rsidP="00B915F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C21B3D" w:rsidRDefault="00C21B3D" w:rsidP="00B915F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2E75CE" w:rsidRPr="00044133" w:rsidRDefault="002E75CE" w:rsidP="00B915F4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E75CE">
        <w:rPr>
          <w:rFonts w:ascii="Arial" w:hAnsi="Arial" w:cs="Arial"/>
          <w:b/>
          <w:sz w:val="24"/>
          <w:szCs w:val="24"/>
        </w:rPr>
        <w:t>Statut evropské nadace</w:t>
      </w:r>
    </w:p>
    <w:p w:rsidR="002E75CE" w:rsidRDefault="002E75CE" w:rsidP="00B915F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2E75CE" w:rsidRPr="002E75CE" w:rsidRDefault="002E75CE" w:rsidP="00B915F4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E75CE">
        <w:rPr>
          <w:rFonts w:ascii="Arial" w:hAnsi="Arial" w:cs="Arial"/>
          <w:sz w:val="24"/>
          <w:szCs w:val="24"/>
        </w:rPr>
        <w:t xml:space="preserve">Dne 20. února 2014 se </w:t>
      </w:r>
      <w:r>
        <w:rPr>
          <w:rFonts w:ascii="Arial" w:hAnsi="Arial" w:cs="Arial"/>
          <w:sz w:val="24"/>
          <w:szCs w:val="24"/>
        </w:rPr>
        <w:t>Rada EU vyjádřila k aktuálnímu stavu prací týkající</w:t>
      </w:r>
      <w:r w:rsidR="003D2674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se návrhu nařízení o statutu evropské nadace a vyjádřila záměr jednání urychlit a docílit dohody.</w:t>
      </w:r>
    </w:p>
    <w:p w:rsidR="007F0824" w:rsidRDefault="00B25DAB" w:rsidP="003474DA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Judikatura</w:t>
      </w:r>
    </w:p>
    <w:p w:rsidR="007F0824" w:rsidRDefault="007F0824" w:rsidP="003474DA">
      <w:pPr>
        <w:pStyle w:val="Prosttext"/>
        <w:rPr>
          <w:rFonts w:ascii="Arial" w:hAnsi="Arial" w:cs="Arial"/>
          <w:b/>
          <w:sz w:val="24"/>
          <w:szCs w:val="24"/>
        </w:rPr>
      </w:pPr>
    </w:p>
    <w:p w:rsidR="002C3D9E" w:rsidRPr="002C3D9E" w:rsidRDefault="00FD4DE0" w:rsidP="002C3D9E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7A3B24">
        <w:rPr>
          <w:rFonts w:ascii="Arial" w:hAnsi="Arial" w:cs="Arial"/>
          <w:sz w:val="24"/>
          <w:szCs w:val="24"/>
        </w:rPr>
        <w:t xml:space="preserve">Evropský soud </w:t>
      </w:r>
      <w:r w:rsidR="007A3B24">
        <w:rPr>
          <w:rFonts w:ascii="Arial" w:hAnsi="Arial" w:cs="Arial"/>
          <w:sz w:val="24"/>
          <w:szCs w:val="24"/>
        </w:rPr>
        <w:t xml:space="preserve">pro lidská práva rozhodl dne 14. ledna 2014 </w:t>
      </w:r>
      <w:r w:rsidR="007A3B24" w:rsidRPr="007A3B24">
        <w:rPr>
          <w:rFonts w:ascii="Arial" w:hAnsi="Arial" w:cs="Arial"/>
          <w:sz w:val="24"/>
          <w:szCs w:val="24"/>
          <w:u w:val="single"/>
        </w:rPr>
        <w:t>ve věci 1944/10</w:t>
      </w:r>
      <w:r w:rsidR="007A3B2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A3B24">
        <w:rPr>
          <w:rFonts w:ascii="Arial" w:hAnsi="Arial" w:cs="Arial"/>
          <w:sz w:val="24"/>
          <w:szCs w:val="24"/>
        </w:rPr>
        <w:t>Mateescu</w:t>
      </w:r>
      <w:proofErr w:type="spellEnd"/>
      <w:r w:rsidR="007A3B24">
        <w:rPr>
          <w:rFonts w:ascii="Arial" w:hAnsi="Arial" w:cs="Arial"/>
          <w:sz w:val="24"/>
          <w:szCs w:val="24"/>
        </w:rPr>
        <w:t xml:space="preserve"> v. </w:t>
      </w:r>
      <w:proofErr w:type="spellStart"/>
      <w:r w:rsidR="007A3B24">
        <w:rPr>
          <w:rFonts w:ascii="Arial" w:hAnsi="Arial" w:cs="Arial"/>
          <w:sz w:val="24"/>
          <w:szCs w:val="24"/>
        </w:rPr>
        <w:t>Romania</w:t>
      </w:r>
      <w:proofErr w:type="spellEnd"/>
      <w:r w:rsidR="007A3B24">
        <w:rPr>
          <w:rFonts w:ascii="Arial" w:hAnsi="Arial" w:cs="Arial"/>
          <w:sz w:val="24"/>
          <w:szCs w:val="24"/>
        </w:rPr>
        <w:t>)</w:t>
      </w:r>
      <w:r w:rsidR="002C3D9E">
        <w:rPr>
          <w:rFonts w:ascii="Arial" w:hAnsi="Arial" w:cs="Arial"/>
          <w:sz w:val="24"/>
          <w:szCs w:val="24"/>
        </w:rPr>
        <w:t xml:space="preserve">. </w:t>
      </w:r>
      <w:r w:rsidR="002C3D9E" w:rsidRPr="002C3D9E">
        <w:rPr>
          <w:rFonts w:ascii="Arial" w:hAnsi="Arial" w:cs="Arial"/>
          <w:sz w:val="24"/>
          <w:szCs w:val="24"/>
        </w:rPr>
        <w:t xml:space="preserve">Rozhodnutí se týká rumunského občana, Mircea Mateescu, diplomovaného lékaře, který v roce 2006 úspěšně absolvoval právnickou školu a poté </w:t>
      </w:r>
      <w:r w:rsidR="002C3D9E" w:rsidRPr="00EF50E5">
        <w:rPr>
          <w:rFonts w:ascii="Arial" w:hAnsi="Arial" w:cs="Arial"/>
          <w:sz w:val="24"/>
          <w:szCs w:val="24"/>
        </w:rPr>
        <w:t xml:space="preserve">úspěšně složil advokátní zkoušku. Jeho žádost o </w:t>
      </w:r>
      <w:r w:rsidR="00513F57" w:rsidRPr="00EF50E5">
        <w:rPr>
          <w:rFonts w:ascii="Arial" w:hAnsi="Arial" w:cs="Arial"/>
          <w:sz w:val="24"/>
          <w:szCs w:val="24"/>
        </w:rPr>
        <w:t xml:space="preserve">umožnění </w:t>
      </w:r>
      <w:r w:rsidR="002C3D9E" w:rsidRPr="00EF50E5">
        <w:rPr>
          <w:rFonts w:ascii="Arial" w:hAnsi="Arial" w:cs="Arial"/>
          <w:sz w:val="24"/>
          <w:szCs w:val="24"/>
        </w:rPr>
        <w:t>dvouleté</w:t>
      </w:r>
      <w:r w:rsidR="00513F57" w:rsidRPr="00EF50E5">
        <w:rPr>
          <w:rFonts w:ascii="Arial" w:hAnsi="Arial" w:cs="Arial"/>
          <w:sz w:val="24"/>
          <w:szCs w:val="24"/>
        </w:rPr>
        <w:t xml:space="preserve"> </w:t>
      </w:r>
      <w:r w:rsidR="00EF50E5" w:rsidRPr="00EF50E5">
        <w:rPr>
          <w:rFonts w:ascii="Arial" w:hAnsi="Arial" w:cs="Arial"/>
          <w:sz w:val="24"/>
          <w:szCs w:val="24"/>
        </w:rPr>
        <w:t>koncipientské</w:t>
      </w:r>
      <w:r w:rsidR="00513F57" w:rsidRPr="00EF50E5">
        <w:rPr>
          <w:rFonts w:ascii="Arial" w:hAnsi="Arial" w:cs="Arial"/>
          <w:sz w:val="24"/>
          <w:szCs w:val="24"/>
        </w:rPr>
        <w:t xml:space="preserve"> praxe,</w:t>
      </w:r>
      <w:r w:rsidR="00513F57">
        <w:rPr>
          <w:rFonts w:ascii="Arial" w:hAnsi="Arial" w:cs="Arial"/>
          <w:sz w:val="24"/>
          <w:szCs w:val="24"/>
        </w:rPr>
        <w:t xml:space="preserve"> která je podmínkou </w:t>
      </w:r>
      <w:r w:rsidR="00306D24">
        <w:rPr>
          <w:rFonts w:ascii="Arial" w:hAnsi="Arial" w:cs="Arial"/>
          <w:sz w:val="24"/>
          <w:szCs w:val="24"/>
        </w:rPr>
        <w:t xml:space="preserve">pro </w:t>
      </w:r>
      <w:r w:rsidR="00513F57">
        <w:rPr>
          <w:rFonts w:ascii="Arial" w:hAnsi="Arial" w:cs="Arial"/>
          <w:sz w:val="24"/>
          <w:szCs w:val="24"/>
        </w:rPr>
        <w:t>získání licence pro</w:t>
      </w:r>
      <w:r w:rsidR="00513F57" w:rsidRPr="002C3D9E">
        <w:rPr>
          <w:rFonts w:ascii="Arial" w:hAnsi="Arial" w:cs="Arial"/>
          <w:sz w:val="24"/>
          <w:szCs w:val="24"/>
        </w:rPr>
        <w:t xml:space="preserve"> výkon </w:t>
      </w:r>
      <w:r w:rsidR="00513F57">
        <w:rPr>
          <w:rFonts w:ascii="Arial" w:hAnsi="Arial" w:cs="Arial"/>
          <w:sz w:val="24"/>
          <w:szCs w:val="24"/>
        </w:rPr>
        <w:t>advokacie,</w:t>
      </w:r>
      <w:r w:rsidR="00513F57" w:rsidRPr="002C3D9E">
        <w:rPr>
          <w:rFonts w:ascii="Arial" w:hAnsi="Arial" w:cs="Arial"/>
          <w:sz w:val="24"/>
          <w:szCs w:val="24"/>
        </w:rPr>
        <w:t xml:space="preserve"> zatímco by pokračoval ve výkonu </w:t>
      </w:r>
      <w:r w:rsidR="00513F57">
        <w:rPr>
          <w:rFonts w:ascii="Arial" w:hAnsi="Arial" w:cs="Arial"/>
          <w:sz w:val="24"/>
          <w:szCs w:val="24"/>
        </w:rPr>
        <w:t xml:space="preserve">svého </w:t>
      </w:r>
      <w:r w:rsidR="00513F57" w:rsidRPr="002C3D9E">
        <w:rPr>
          <w:rFonts w:ascii="Arial" w:hAnsi="Arial" w:cs="Arial"/>
          <w:sz w:val="24"/>
          <w:szCs w:val="24"/>
        </w:rPr>
        <w:t>lékařského povolání</w:t>
      </w:r>
      <w:r w:rsidR="002C3D9E" w:rsidRPr="002C3D9E">
        <w:rPr>
          <w:rFonts w:ascii="Arial" w:hAnsi="Arial" w:cs="Arial"/>
          <w:sz w:val="24"/>
          <w:szCs w:val="24"/>
        </w:rPr>
        <w:t xml:space="preserve">, byla Bukurešťskou advokátní komorou v březnu 2008 zamítnuta. Rozhodnutí </w:t>
      </w:r>
      <w:r w:rsidR="00513F57">
        <w:rPr>
          <w:rFonts w:ascii="Arial" w:hAnsi="Arial" w:cs="Arial"/>
          <w:sz w:val="24"/>
          <w:szCs w:val="24"/>
        </w:rPr>
        <w:t>mj. stanovilo</w:t>
      </w:r>
      <w:r w:rsidR="002C3D9E" w:rsidRPr="002C3D9E">
        <w:rPr>
          <w:rFonts w:ascii="Arial" w:hAnsi="Arial" w:cs="Arial"/>
          <w:sz w:val="24"/>
          <w:szCs w:val="24"/>
        </w:rPr>
        <w:t>, že M</w:t>
      </w:r>
      <w:r w:rsidR="003D2674">
        <w:rPr>
          <w:rFonts w:ascii="Arial" w:hAnsi="Arial" w:cs="Arial"/>
          <w:sz w:val="24"/>
          <w:szCs w:val="24"/>
        </w:rPr>
        <w:t>. </w:t>
      </w:r>
      <w:proofErr w:type="spellStart"/>
      <w:r w:rsidR="00306D24">
        <w:rPr>
          <w:rFonts w:ascii="Arial" w:hAnsi="Arial" w:cs="Arial"/>
          <w:sz w:val="24"/>
          <w:szCs w:val="24"/>
        </w:rPr>
        <w:t>M</w:t>
      </w:r>
      <w:r w:rsidR="002C3D9E" w:rsidRPr="002C3D9E">
        <w:rPr>
          <w:rFonts w:ascii="Arial" w:hAnsi="Arial" w:cs="Arial"/>
          <w:sz w:val="24"/>
          <w:szCs w:val="24"/>
        </w:rPr>
        <w:t>ateescu</w:t>
      </w:r>
      <w:proofErr w:type="spellEnd"/>
      <w:r w:rsidR="002C3D9E" w:rsidRPr="002C3D9E">
        <w:rPr>
          <w:rFonts w:ascii="Arial" w:hAnsi="Arial" w:cs="Arial"/>
          <w:sz w:val="24"/>
          <w:szCs w:val="24"/>
        </w:rPr>
        <w:t xml:space="preserve"> je, vzhledem k tomu, že tyto dvě profese jsou neslučitelné, povinen si me</w:t>
      </w:r>
      <w:r w:rsidR="00513F57">
        <w:rPr>
          <w:rFonts w:ascii="Arial" w:hAnsi="Arial" w:cs="Arial"/>
          <w:sz w:val="24"/>
          <w:szCs w:val="24"/>
        </w:rPr>
        <w:t xml:space="preserve">zi zmíněnými profesemi vybrat. </w:t>
      </w:r>
      <w:r w:rsidR="002C3D9E" w:rsidRPr="002C3D9E">
        <w:rPr>
          <w:rFonts w:ascii="Arial" w:hAnsi="Arial" w:cs="Arial"/>
          <w:sz w:val="24"/>
          <w:szCs w:val="24"/>
        </w:rPr>
        <w:t xml:space="preserve">Toto stanovisko bylo podpořeno </w:t>
      </w:r>
      <w:r w:rsidR="00513F57">
        <w:rPr>
          <w:rFonts w:ascii="Arial" w:hAnsi="Arial" w:cs="Arial"/>
          <w:sz w:val="24"/>
          <w:szCs w:val="24"/>
        </w:rPr>
        <w:t xml:space="preserve">i </w:t>
      </w:r>
      <w:r w:rsidR="002C3D9E" w:rsidRPr="002C3D9E">
        <w:rPr>
          <w:rFonts w:ascii="Arial" w:hAnsi="Arial" w:cs="Arial"/>
          <w:sz w:val="24"/>
          <w:szCs w:val="24"/>
        </w:rPr>
        <w:t>Národní advokátní ko</w:t>
      </w:r>
      <w:r w:rsidR="00513F57">
        <w:rPr>
          <w:rFonts w:ascii="Arial" w:hAnsi="Arial" w:cs="Arial"/>
          <w:sz w:val="24"/>
          <w:szCs w:val="24"/>
        </w:rPr>
        <w:t>morou.</w:t>
      </w:r>
      <w:r w:rsidR="002C3D9E" w:rsidRPr="002C3D9E">
        <w:rPr>
          <w:rFonts w:ascii="Arial" w:hAnsi="Arial" w:cs="Arial"/>
          <w:sz w:val="24"/>
          <w:szCs w:val="24"/>
        </w:rPr>
        <w:t xml:space="preserve"> Mateescuovo odvolání proti tomuto rozhodnutí bylo nakonec v červnu 2009 zamítnuto Nejvyšším soudem. </w:t>
      </w:r>
      <w:proofErr w:type="spellStart"/>
      <w:r w:rsidR="002C3D9E" w:rsidRPr="002C3D9E">
        <w:rPr>
          <w:rFonts w:ascii="Arial" w:hAnsi="Arial" w:cs="Arial"/>
          <w:sz w:val="24"/>
          <w:szCs w:val="24"/>
        </w:rPr>
        <w:t>Mateescu</w:t>
      </w:r>
      <w:proofErr w:type="spellEnd"/>
      <w:r w:rsidR="002C3D9E" w:rsidRPr="002C3D9E">
        <w:rPr>
          <w:rFonts w:ascii="Arial" w:hAnsi="Arial" w:cs="Arial"/>
          <w:sz w:val="24"/>
          <w:szCs w:val="24"/>
        </w:rPr>
        <w:t xml:space="preserve"> podal stížnost </w:t>
      </w:r>
      <w:r w:rsidR="00513F57">
        <w:rPr>
          <w:rFonts w:ascii="Arial" w:hAnsi="Arial" w:cs="Arial"/>
          <w:sz w:val="24"/>
          <w:szCs w:val="24"/>
        </w:rPr>
        <w:t>k ESLP s tím, že za</w:t>
      </w:r>
      <w:r w:rsidR="002C3D9E" w:rsidRPr="002C3D9E">
        <w:rPr>
          <w:rFonts w:ascii="Arial" w:hAnsi="Arial" w:cs="Arial"/>
          <w:sz w:val="24"/>
          <w:szCs w:val="24"/>
        </w:rPr>
        <w:t>mítnutí</w:t>
      </w:r>
      <w:r w:rsidR="00EF50E5">
        <w:rPr>
          <w:rFonts w:ascii="Arial" w:hAnsi="Arial" w:cs="Arial"/>
          <w:sz w:val="24"/>
          <w:szCs w:val="24"/>
        </w:rPr>
        <w:t>m</w:t>
      </w:r>
      <w:r w:rsidR="002C3D9E" w:rsidRPr="002C3D9E">
        <w:rPr>
          <w:rFonts w:ascii="Arial" w:hAnsi="Arial" w:cs="Arial"/>
          <w:sz w:val="24"/>
          <w:szCs w:val="24"/>
        </w:rPr>
        <w:t xml:space="preserve"> </w:t>
      </w:r>
      <w:r w:rsidR="00EF50E5">
        <w:rPr>
          <w:rFonts w:ascii="Arial" w:hAnsi="Arial" w:cs="Arial"/>
          <w:sz w:val="24"/>
          <w:szCs w:val="24"/>
        </w:rPr>
        <w:t>souběžného výkonu lékařské a právnické praxe</w:t>
      </w:r>
      <w:r w:rsidR="002C3D9E" w:rsidRPr="002C3D9E">
        <w:rPr>
          <w:rFonts w:ascii="Arial" w:hAnsi="Arial" w:cs="Arial"/>
          <w:sz w:val="24"/>
          <w:szCs w:val="24"/>
        </w:rPr>
        <w:t xml:space="preserve"> </w:t>
      </w:r>
      <w:r w:rsidR="00EF50E5">
        <w:rPr>
          <w:rFonts w:ascii="Arial" w:hAnsi="Arial" w:cs="Arial"/>
          <w:sz w:val="24"/>
          <w:szCs w:val="24"/>
        </w:rPr>
        <w:t>byla porušena jeho práva dle č</w:t>
      </w:r>
      <w:r w:rsidR="002C3D9E" w:rsidRPr="002C3D9E">
        <w:rPr>
          <w:rFonts w:ascii="Arial" w:hAnsi="Arial" w:cs="Arial"/>
          <w:sz w:val="24"/>
          <w:szCs w:val="24"/>
        </w:rPr>
        <w:t>lánku 8 Evropské úmluvy o ochraně lidských práv (právo na respektování soukromého a rodinného života).</w:t>
      </w:r>
    </w:p>
    <w:p w:rsidR="009D4C4E" w:rsidRDefault="002C3D9E" w:rsidP="009D4C4E">
      <w:pPr>
        <w:spacing w:after="0" w:line="240" w:lineRule="auto"/>
        <w:rPr>
          <w:rFonts w:ascii="Arial" w:eastAsiaTheme="minorHAnsi" w:hAnsi="Arial" w:cs="Arial"/>
          <w:sz w:val="24"/>
          <w:szCs w:val="24"/>
          <w:lang w:val="cs-CZ"/>
        </w:rPr>
      </w:pPr>
      <w:r w:rsidRPr="002C3D9E">
        <w:rPr>
          <w:rFonts w:ascii="Arial" w:eastAsiaTheme="minorHAnsi" w:hAnsi="Arial" w:cs="Arial"/>
          <w:sz w:val="24"/>
          <w:szCs w:val="24"/>
          <w:lang w:val="cs-CZ"/>
        </w:rPr>
        <w:t xml:space="preserve">Soud </w:t>
      </w:r>
      <w:r w:rsidR="00EF50E5">
        <w:rPr>
          <w:rFonts w:ascii="Arial" w:eastAsiaTheme="minorHAnsi" w:hAnsi="Arial" w:cs="Arial"/>
          <w:sz w:val="24"/>
          <w:szCs w:val="24"/>
          <w:lang w:val="cs-CZ"/>
        </w:rPr>
        <w:t xml:space="preserve">konstatoval, že rozhodnutí podmínit žadatelův výkon advokacie nutností upustit od své lékařské </w:t>
      </w:r>
      <w:r w:rsidR="009D4C4E">
        <w:rPr>
          <w:rFonts w:ascii="Arial" w:eastAsiaTheme="minorHAnsi" w:hAnsi="Arial" w:cs="Arial"/>
          <w:sz w:val="24"/>
          <w:szCs w:val="24"/>
          <w:lang w:val="cs-CZ"/>
        </w:rPr>
        <w:t>praxe</w:t>
      </w:r>
      <w:r w:rsidR="00EF50E5">
        <w:rPr>
          <w:rFonts w:ascii="Arial" w:eastAsiaTheme="minorHAnsi" w:hAnsi="Arial" w:cs="Arial"/>
          <w:sz w:val="24"/>
          <w:szCs w:val="24"/>
          <w:lang w:val="cs-CZ"/>
        </w:rPr>
        <w:t xml:space="preserve"> představuje rozpor s jeho právem na soukromý život. Takovýto rozpor je považován za porušení článku 8</w:t>
      </w:r>
      <w:r w:rsidR="009D4C4E">
        <w:rPr>
          <w:rFonts w:ascii="Arial" w:eastAsiaTheme="minorHAnsi" w:hAnsi="Arial" w:cs="Arial"/>
          <w:sz w:val="24"/>
          <w:szCs w:val="24"/>
          <w:lang w:val="cs-CZ"/>
        </w:rPr>
        <w:t xml:space="preserve">, </w:t>
      </w:r>
      <w:r w:rsidR="00EF50E5">
        <w:rPr>
          <w:rFonts w:ascii="Arial" w:eastAsiaTheme="minorHAnsi" w:hAnsi="Arial" w:cs="Arial"/>
          <w:sz w:val="24"/>
          <w:szCs w:val="24"/>
          <w:lang w:val="cs-CZ"/>
        </w:rPr>
        <w:t xml:space="preserve">pokud nemůže být ospravedlněn </w:t>
      </w:r>
      <w:r w:rsidR="009D4C4E">
        <w:rPr>
          <w:rFonts w:ascii="Arial" w:eastAsiaTheme="minorHAnsi" w:hAnsi="Arial" w:cs="Arial"/>
          <w:sz w:val="24"/>
          <w:szCs w:val="24"/>
          <w:lang w:val="cs-CZ"/>
        </w:rPr>
        <w:t>tím, že je „v souladu se zákonem“, tj. osoba, která je zákonem dotčena musí být schopna předvídat následky, ke kterým může její jednání vést.</w:t>
      </w:r>
    </w:p>
    <w:p w:rsidR="002C3D9E" w:rsidRPr="002C3D9E" w:rsidRDefault="009D4C4E" w:rsidP="009D4C4E">
      <w:pPr>
        <w:spacing w:after="0" w:line="240" w:lineRule="auto"/>
        <w:rPr>
          <w:rFonts w:ascii="Arial" w:eastAsiaTheme="minorHAnsi" w:hAnsi="Arial" w:cs="Arial"/>
          <w:sz w:val="24"/>
          <w:szCs w:val="24"/>
          <w:lang w:val="cs-CZ"/>
        </w:rPr>
      </w:pPr>
      <w:r>
        <w:rPr>
          <w:rFonts w:ascii="Arial" w:eastAsiaTheme="minorHAnsi" w:hAnsi="Arial" w:cs="Arial"/>
          <w:sz w:val="24"/>
          <w:szCs w:val="24"/>
          <w:lang w:val="cs-CZ"/>
        </w:rPr>
        <w:t>V této souvislosti Soud rozhodl:</w:t>
      </w:r>
    </w:p>
    <w:p w:rsidR="007F0824" w:rsidRPr="00647EAC" w:rsidRDefault="002C3D9E" w:rsidP="00647EAC">
      <w:pPr>
        <w:spacing w:after="0" w:line="240" w:lineRule="auto"/>
        <w:rPr>
          <w:rFonts w:ascii="Arial" w:eastAsiaTheme="minorHAnsi" w:hAnsi="Arial" w:cs="Arial"/>
          <w:sz w:val="24"/>
          <w:szCs w:val="24"/>
          <w:lang w:val="cs-CZ"/>
        </w:rPr>
      </w:pPr>
      <w:r w:rsidRPr="002C3D9E">
        <w:rPr>
          <w:rFonts w:ascii="Arial" w:eastAsiaTheme="minorHAnsi" w:hAnsi="Arial" w:cs="Arial"/>
          <w:sz w:val="24"/>
          <w:szCs w:val="24"/>
          <w:lang w:val="cs-CZ"/>
        </w:rPr>
        <w:t xml:space="preserve">Znění právních předpisů upravujících </w:t>
      </w:r>
      <w:r w:rsidR="009D4C4E">
        <w:rPr>
          <w:rFonts w:ascii="Arial" w:eastAsiaTheme="minorHAnsi" w:hAnsi="Arial" w:cs="Arial"/>
          <w:sz w:val="24"/>
          <w:szCs w:val="24"/>
          <w:lang w:val="cs-CZ"/>
        </w:rPr>
        <w:t>výkon</w:t>
      </w:r>
      <w:r w:rsidRPr="002C3D9E">
        <w:rPr>
          <w:rFonts w:ascii="Arial" w:eastAsiaTheme="minorHAnsi" w:hAnsi="Arial" w:cs="Arial"/>
          <w:sz w:val="24"/>
          <w:szCs w:val="24"/>
          <w:lang w:val="cs-CZ"/>
        </w:rPr>
        <w:t xml:space="preserve"> profese advokáta nebylo dostatečně předvídatelné, aby umožnilo žadateli </w:t>
      </w:r>
      <w:r w:rsidR="009D4C4E">
        <w:rPr>
          <w:rFonts w:ascii="Arial" w:eastAsiaTheme="minorHAnsi" w:hAnsi="Arial" w:cs="Arial"/>
          <w:sz w:val="24"/>
          <w:szCs w:val="24"/>
          <w:lang w:val="cs-CZ"/>
        </w:rPr>
        <w:t>uvědomit si</w:t>
      </w:r>
      <w:r w:rsidRPr="002C3D9E">
        <w:rPr>
          <w:rFonts w:ascii="Arial" w:eastAsiaTheme="minorHAnsi" w:hAnsi="Arial" w:cs="Arial"/>
          <w:sz w:val="24"/>
          <w:szCs w:val="24"/>
          <w:lang w:val="cs-CZ"/>
        </w:rPr>
        <w:t xml:space="preserve">, že souběžné provozování další profese, neuvedené mezi těmi, které jsou vyloučeny zákonem, </w:t>
      </w:r>
      <w:r w:rsidR="00B044AA">
        <w:rPr>
          <w:rFonts w:ascii="Arial" w:eastAsiaTheme="minorHAnsi" w:hAnsi="Arial" w:cs="Arial"/>
          <w:sz w:val="24"/>
          <w:szCs w:val="24"/>
          <w:lang w:val="cs-CZ"/>
        </w:rPr>
        <w:t>bude mít</w:t>
      </w:r>
      <w:r w:rsidRPr="002C3D9E">
        <w:rPr>
          <w:rFonts w:ascii="Arial" w:eastAsiaTheme="minorHAnsi" w:hAnsi="Arial" w:cs="Arial"/>
          <w:sz w:val="24"/>
          <w:szCs w:val="24"/>
          <w:lang w:val="cs-CZ"/>
        </w:rPr>
        <w:t xml:space="preserve"> za následek zamítnutí jeho práva </w:t>
      </w:r>
      <w:r w:rsidR="00B044AA">
        <w:rPr>
          <w:rFonts w:ascii="Arial" w:eastAsiaTheme="minorHAnsi" w:hAnsi="Arial" w:cs="Arial"/>
          <w:sz w:val="24"/>
          <w:szCs w:val="24"/>
          <w:lang w:val="cs-CZ"/>
        </w:rPr>
        <w:t>výkonu advokacie</w:t>
      </w:r>
      <w:r w:rsidRPr="002C3D9E">
        <w:rPr>
          <w:rFonts w:ascii="Arial" w:eastAsiaTheme="minorHAnsi" w:hAnsi="Arial" w:cs="Arial"/>
          <w:sz w:val="24"/>
          <w:szCs w:val="24"/>
          <w:lang w:val="cs-CZ"/>
        </w:rPr>
        <w:t>.</w:t>
      </w:r>
      <w:r w:rsidR="00903036">
        <w:rPr>
          <w:rFonts w:ascii="Arial" w:eastAsiaTheme="minorHAnsi" w:hAnsi="Arial" w:cs="Arial"/>
          <w:sz w:val="24"/>
          <w:szCs w:val="24"/>
          <w:lang w:val="cs-CZ"/>
        </w:rPr>
        <w:t xml:space="preserve"> </w:t>
      </w:r>
      <w:r w:rsidRPr="002C3D9E">
        <w:rPr>
          <w:rFonts w:ascii="Arial" w:eastAsiaTheme="minorHAnsi" w:hAnsi="Arial" w:cs="Arial"/>
          <w:sz w:val="24"/>
          <w:szCs w:val="24"/>
          <w:lang w:val="cs-CZ"/>
        </w:rPr>
        <w:t>Soud došel k závěru, že podmínka předvídatelnosti nebyla splněna a tudíž tento zásah nebyl v souladu se zákonem.</w:t>
      </w:r>
      <w:r w:rsidR="00306D24">
        <w:rPr>
          <w:rFonts w:ascii="Arial" w:eastAsiaTheme="minorHAnsi" w:hAnsi="Arial" w:cs="Arial"/>
          <w:sz w:val="24"/>
          <w:szCs w:val="24"/>
          <w:lang w:val="cs-CZ"/>
        </w:rPr>
        <w:t xml:space="preserve"> Článek 8 Úmluvy byl tak</w:t>
      </w:r>
      <w:r w:rsidRPr="002C3D9E">
        <w:rPr>
          <w:rFonts w:ascii="Arial" w:eastAsiaTheme="minorHAnsi" w:hAnsi="Arial" w:cs="Arial"/>
          <w:sz w:val="24"/>
          <w:szCs w:val="24"/>
          <w:lang w:val="cs-CZ"/>
        </w:rPr>
        <w:t xml:space="preserve"> porušen.</w:t>
      </w:r>
    </w:p>
    <w:p w:rsidR="007F0824" w:rsidRDefault="007F0824" w:rsidP="003474DA">
      <w:pPr>
        <w:pStyle w:val="Prosttext"/>
        <w:rPr>
          <w:rFonts w:ascii="Arial" w:hAnsi="Arial" w:cs="Arial"/>
          <w:b/>
          <w:sz w:val="24"/>
          <w:szCs w:val="24"/>
        </w:rPr>
      </w:pPr>
    </w:p>
    <w:p w:rsidR="007F0824" w:rsidRDefault="007F0824" w:rsidP="003474DA">
      <w:pPr>
        <w:pStyle w:val="Prosttext"/>
        <w:rPr>
          <w:rFonts w:ascii="Arial" w:hAnsi="Arial" w:cs="Arial"/>
          <w:b/>
          <w:sz w:val="24"/>
          <w:szCs w:val="24"/>
        </w:rPr>
      </w:pPr>
    </w:p>
    <w:sectPr w:rsidR="007F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5"/>
    <w:rsid w:val="00044133"/>
    <w:rsid w:val="000461A1"/>
    <w:rsid w:val="0004778E"/>
    <w:rsid w:val="00096760"/>
    <w:rsid w:val="000E78AC"/>
    <w:rsid w:val="0014647E"/>
    <w:rsid w:val="001C0B28"/>
    <w:rsid w:val="001E4C63"/>
    <w:rsid w:val="002303F9"/>
    <w:rsid w:val="00283500"/>
    <w:rsid w:val="002C3D9E"/>
    <w:rsid w:val="002E75CE"/>
    <w:rsid w:val="002F7406"/>
    <w:rsid w:val="00306D24"/>
    <w:rsid w:val="003301FA"/>
    <w:rsid w:val="00346EAB"/>
    <w:rsid w:val="003474DA"/>
    <w:rsid w:val="003D2674"/>
    <w:rsid w:val="00484B1B"/>
    <w:rsid w:val="004921E1"/>
    <w:rsid w:val="004A1800"/>
    <w:rsid w:val="004C3B5B"/>
    <w:rsid w:val="004E056F"/>
    <w:rsid w:val="004E33DC"/>
    <w:rsid w:val="00513F57"/>
    <w:rsid w:val="00516148"/>
    <w:rsid w:val="005423AC"/>
    <w:rsid w:val="005475AA"/>
    <w:rsid w:val="0056115E"/>
    <w:rsid w:val="005D2298"/>
    <w:rsid w:val="005D6DBE"/>
    <w:rsid w:val="006236B7"/>
    <w:rsid w:val="006323B2"/>
    <w:rsid w:val="00647EAC"/>
    <w:rsid w:val="00674495"/>
    <w:rsid w:val="00685E37"/>
    <w:rsid w:val="006D3EBD"/>
    <w:rsid w:val="00701992"/>
    <w:rsid w:val="00701CEC"/>
    <w:rsid w:val="007325F8"/>
    <w:rsid w:val="00735CFC"/>
    <w:rsid w:val="007736C1"/>
    <w:rsid w:val="00796B04"/>
    <w:rsid w:val="007A3B24"/>
    <w:rsid w:val="007F0824"/>
    <w:rsid w:val="00862134"/>
    <w:rsid w:val="00864A58"/>
    <w:rsid w:val="00871F7F"/>
    <w:rsid w:val="008765B8"/>
    <w:rsid w:val="008A568B"/>
    <w:rsid w:val="00903036"/>
    <w:rsid w:val="009D3736"/>
    <w:rsid w:val="009D4C4E"/>
    <w:rsid w:val="00A126B9"/>
    <w:rsid w:val="00A76EC0"/>
    <w:rsid w:val="00A85363"/>
    <w:rsid w:val="00AE1DC3"/>
    <w:rsid w:val="00B044AA"/>
    <w:rsid w:val="00B25DAB"/>
    <w:rsid w:val="00B366C5"/>
    <w:rsid w:val="00B6043C"/>
    <w:rsid w:val="00B6164D"/>
    <w:rsid w:val="00B915F4"/>
    <w:rsid w:val="00BD5EF0"/>
    <w:rsid w:val="00BE4732"/>
    <w:rsid w:val="00C21B3D"/>
    <w:rsid w:val="00C63AA3"/>
    <w:rsid w:val="00CA1D6D"/>
    <w:rsid w:val="00D0673C"/>
    <w:rsid w:val="00D149C5"/>
    <w:rsid w:val="00D30ED9"/>
    <w:rsid w:val="00D755B5"/>
    <w:rsid w:val="00DB738E"/>
    <w:rsid w:val="00DC2DE0"/>
    <w:rsid w:val="00DE66C8"/>
    <w:rsid w:val="00E26E9B"/>
    <w:rsid w:val="00E6328A"/>
    <w:rsid w:val="00E73DD3"/>
    <w:rsid w:val="00EA5B96"/>
    <w:rsid w:val="00EF50E5"/>
    <w:rsid w:val="00F57315"/>
    <w:rsid w:val="00FC0F9D"/>
    <w:rsid w:val="00F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15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31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57315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57315"/>
    <w:rPr>
      <w:rFonts w:ascii="Calibri" w:hAnsi="Calibri"/>
      <w:szCs w:val="21"/>
    </w:rPr>
  </w:style>
  <w:style w:type="paragraph" w:customStyle="1" w:styleId="color11">
    <w:name w:val="color11"/>
    <w:basedOn w:val="Normln"/>
    <w:rsid w:val="00F57315"/>
    <w:pPr>
      <w:pBdr>
        <w:bottom w:val="single" w:sz="6" w:space="4" w:color="FCFCFC"/>
      </w:pBdr>
      <w:shd w:val="clear" w:color="auto" w:fill="FFFFFF"/>
      <w:spacing w:after="0" w:line="240" w:lineRule="auto"/>
      <w:jc w:val="left"/>
    </w:pPr>
    <w:rPr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4A5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5B"/>
    <w:rPr>
      <w:rFonts w:ascii="Tahoma" w:eastAsia="Times New Roman" w:hAnsi="Tahoma" w:cs="Tahoma"/>
      <w:sz w:val="16"/>
      <w:szCs w:val="16"/>
      <w:lang w:val="fr-FR"/>
    </w:rPr>
  </w:style>
  <w:style w:type="character" w:customStyle="1" w:styleId="newsdateliste">
    <w:name w:val="news_date_liste"/>
    <w:basedOn w:val="Standardnpsmoodstavce"/>
    <w:rsid w:val="008A568B"/>
  </w:style>
  <w:style w:type="paragraph" w:customStyle="1" w:styleId="color21">
    <w:name w:val="color21"/>
    <w:basedOn w:val="Normln"/>
    <w:rsid w:val="008A568B"/>
    <w:pPr>
      <w:pBdr>
        <w:bottom w:val="single" w:sz="6" w:space="4" w:color="FCFCFC"/>
      </w:pBdr>
      <w:shd w:val="clear" w:color="auto" w:fill="FCFCFC"/>
      <w:spacing w:after="0" w:line="240" w:lineRule="auto"/>
      <w:jc w:val="left"/>
    </w:pPr>
    <w:rPr>
      <w:lang w:val="cs-CZ" w:eastAsia="cs-CZ"/>
    </w:rPr>
  </w:style>
  <w:style w:type="paragraph" w:customStyle="1" w:styleId="CM1">
    <w:name w:val="CM1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Default">
    <w:name w:val="Default"/>
    <w:rsid w:val="0086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E4C63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15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31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57315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57315"/>
    <w:rPr>
      <w:rFonts w:ascii="Calibri" w:hAnsi="Calibri"/>
      <w:szCs w:val="21"/>
    </w:rPr>
  </w:style>
  <w:style w:type="paragraph" w:customStyle="1" w:styleId="color11">
    <w:name w:val="color11"/>
    <w:basedOn w:val="Normln"/>
    <w:rsid w:val="00F57315"/>
    <w:pPr>
      <w:pBdr>
        <w:bottom w:val="single" w:sz="6" w:space="4" w:color="FCFCFC"/>
      </w:pBdr>
      <w:shd w:val="clear" w:color="auto" w:fill="FFFFFF"/>
      <w:spacing w:after="0" w:line="240" w:lineRule="auto"/>
      <w:jc w:val="left"/>
    </w:pPr>
    <w:rPr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4A5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5B"/>
    <w:rPr>
      <w:rFonts w:ascii="Tahoma" w:eastAsia="Times New Roman" w:hAnsi="Tahoma" w:cs="Tahoma"/>
      <w:sz w:val="16"/>
      <w:szCs w:val="16"/>
      <w:lang w:val="fr-FR"/>
    </w:rPr>
  </w:style>
  <w:style w:type="character" w:customStyle="1" w:styleId="newsdateliste">
    <w:name w:val="news_date_liste"/>
    <w:basedOn w:val="Standardnpsmoodstavce"/>
    <w:rsid w:val="008A568B"/>
  </w:style>
  <w:style w:type="paragraph" w:customStyle="1" w:styleId="color21">
    <w:name w:val="color21"/>
    <w:basedOn w:val="Normln"/>
    <w:rsid w:val="008A568B"/>
    <w:pPr>
      <w:pBdr>
        <w:bottom w:val="single" w:sz="6" w:space="4" w:color="FCFCFC"/>
      </w:pBdr>
      <w:shd w:val="clear" w:color="auto" w:fill="FCFCFC"/>
      <w:spacing w:after="0" w:line="240" w:lineRule="auto"/>
      <w:jc w:val="left"/>
    </w:pPr>
    <w:rPr>
      <w:lang w:val="cs-CZ" w:eastAsia="cs-CZ"/>
    </w:rPr>
  </w:style>
  <w:style w:type="paragraph" w:customStyle="1" w:styleId="CM1">
    <w:name w:val="CM1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Default">
    <w:name w:val="Default"/>
    <w:rsid w:val="0086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E4C63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02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5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13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8915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380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15" w:color="CCCCCC"/>
            <w:bottom w:val="single" w:sz="6" w:space="0" w:color="CCCCCC"/>
            <w:right w:val="single" w:sz="6" w:space="15" w:color="CCCCCC"/>
          </w:divBdr>
          <w:divsChild>
            <w:div w:id="1124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3114">
                      <w:marLeft w:val="165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BEB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13:354:0132:0170:CS:PDF" TargetMode="External"/><Relationship Id="rId13" Type="http://schemas.openxmlformats.org/officeDocument/2006/relationships/hyperlink" Target="http://www.ccbe.eu/fileadmin/user_upload/NTCdocument/EN_Manifesto_2014_we1_139237503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oparl.europa.eu/sides/getDoc.do?pubRef=-//EP//TEXT+TA+P7-TA-2014-0064+0+DOC+XML+V0//CS" TargetMode="External"/><Relationship Id="rId12" Type="http://schemas.openxmlformats.org/officeDocument/2006/relationships/hyperlink" Target="http://www.europarl.europa.eu/sides/getDoc.do?pubRef=-//EP//NONSGML+COMPARL+PE-526.085+02+DOC+PDF+V0//CS&amp;language=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waltverein.de/downloads/DAV-SN6-14.pdf" TargetMode="External"/><Relationship Id="rId11" Type="http://schemas.openxmlformats.org/officeDocument/2006/relationships/hyperlink" Target="http://www.consilium.europa.eu/uedocs/cms_data/docs/pressdata/en/intm/14097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parl.europa.eu/sides/getDoc.do?pubRef=-//EP//TEXT+TA+P7-TA-2014-0093+0+DOC+XML+V0//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arl.europa.eu/sides/getDoc.do?pubRef=-//EP//NONSGML+REPORT+A7-2014-0017+0+DOC+PDF+V0//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E18B-74A0-4D1F-94FE-A633849E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8414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indruchova</dc:creator>
  <cp:lastModifiedBy>Kateřina Lindner</cp:lastModifiedBy>
  <cp:revision>2</cp:revision>
  <cp:lastPrinted>2014-03-03T17:10:00Z</cp:lastPrinted>
  <dcterms:created xsi:type="dcterms:W3CDTF">2014-03-12T14:25:00Z</dcterms:created>
  <dcterms:modified xsi:type="dcterms:W3CDTF">2014-03-12T14:25:00Z</dcterms:modified>
</cp:coreProperties>
</file>